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F" w:rsidRPr="00AF21A8" w:rsidRDefault="00A45F0E">
      <w:pPr>
        <w:pStyle w:val="Title"/>
        <w:rPr>
          <w:b/>
        </w:rPr>
      </w:pPr>
      <w:bookmarkStart w:id="0" w:name="_GoBack"/>
      <w:bookmarkEnd w:id="0"/>
      <w:r w:rsidRPr="00AF21A8">
        <w:rPr>
          <w:b/>
        </w:rPr>
        <w:t>Faculty Perceptions Survey 2013 Summary</w:t>
      </w:r>
    </w:p>
    <w:p w:rsidR="00F0078F" w:rsidRDefault="00F0078F"/>
    <w:p w:rsidR="00F0078F" w:rsidRDefault="00F0078F"/>
    <w:p w:rsidR="00F0078F" w:rsidRDefault="00F0078F"/>
    <w:p w:rsidR="00F0078F" w:rsidRDefault="00A45F0E">
      <w:r>
        <w:t xml:space="preserve">The </w:t>
      </w:r>
      <w:r w:rsidR="00100018">
        <w:t>following report</w:t>
      </w:r>
      <w:r>
        <w:t xml:space="preserve"> serves as a summary of the Faculty Perceptions Survey that was presented to the SFA faculty during the </w:t>
      </w:r>
      <w:proofErr w:type="gramStart"/>
      <w:r>
        <w:t>Fall</w:t>
      </w:r>
      <w:proofErr w:type="gramEnd"/>
      <w:r>
        <w:t xml:space="preserve"> 2013 semester. While this summary only presents means</w:t>
      </w:r>
      <w:r w:rsidR="00ED0793"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)</m:t>
        </m:r>
      </m:oMath>
      <w:r>
        <w:t xml:space="preserve">, additional descriptive statistics and frequency tables and histograms are presented in the full report. </w:t>
      </w:r>
    </w:p>
    <w:p w:rsidR="00F0078F" w:rsidRDefault="00F0078F"/>
    <w:p w:rsidR="00F0078F" w:rsidRDefault="00A45F0E">
      <w:r>
        <w:t xml:space="preserve">Of the </w:t>
      </w:r>
      <w:r w:rsidR="00AF21A8">
        <w:t xml:space="preserve">632 </w:t>
      </w:r>
      <w:r>
        <w:t>faculty of record</w:t>
      </w:r>
      <w:r w:rsidR="00AF21A8">
        <w:t xml:space="preserve"> in </w:t>
      </w:r>
      <w:proofErr w:type="gramStart"/>
      <w:r w:rsidR="00AF21A8">
        <w:t>Fall</w:t>
      </w:r>
      <w:proofErr w:type="gramEnd"/>
      <w:r w:rsidR="00AF21A8">
        <w:t xml:space="preserve"> 2013</w:t>
      </w:r>
      <w:r>
        <w:t>, 272 res</w:t>
      </w:r>
      <w:r w:rsidR="00AF21A8">
        <w:t>ponded. While faculty from all c</w:t>
      </w:r>
      <w:r>
        <w:t>olleges responded, the College of Liberal and Applied Arts (n=112)</w:t>
      </w:r>
      <w:r w:rsidR="00ED0793">
        <w:t>, the James I. Perkins</w:t>
      </w:r>
      <w:r>
        <w:t xml:space="preserve"> College of Education (n=55), and the College of Sciences and Mathematics (n=49) had the most respondents. </w:t>
      </w:r>
      <w:proofErr w:type="gramStart"/>
      <w:r>
        <w:t>Those faculty</w:t>
      </w:r>
      <w:proofErr w:type="gramEnd"/>
      <w:r>
        <w:t xml:space="preserve"> who completed the survey </w:t>
      </w:r>
      <w:r w:rsidR="00100018">
        <w:t>were?</w:t>
      </w:r>
      <w:r>
        <w:t xml:space="preserve"> </w:t>
      </w:r>
      <w:proofErr w:type="gramStart"/>
      <w:r>
        <w:t>ranked</w:t>
      </w:r>
      <w:proofErr w:type="gramEnd"/>
      <w:r>
        <w:t xml:space="preserve"> as Associate Professor (n=71), Assistant Tenure-Track Professor (n=61), and Full Professor (n=52); however, all ranks were represented. The mean salary was $56</w:t>
      </w:r>
      <w:r w:rsidR="00AF21A8">
        <w:t>,</w:t>
      </w:r>
      <w:r>
        <w:t>581.21 (</w:t>
      </w:r>
      <w:proofErr w:type="spellStart"/>
      <w:r>
        <w:t>s.d</w:t>
      </w:r>
      <w:proofErr w:type="gramStart"/>
      <w:r>
        <w:t>.</w:t>
      </w:r>
      <w:proofErr w:type="spellEnd"/>
      <w:r>
        <w:t>=</w:t>
      </w:r>
      <w:proofErr w:type="gramEnd"/>
      <w:r>
        <w:t>21137.56) and the mean time worked at SFA was 9.89 years (</w:t>
      </w:r>
      <w:proofErr w:type="spellStart"/>
      <w:r>
        <w:t>s.d.</w:t>
      </w:r>
      <w:proofErr w:type="spellEnd"/>
      <w:r>
        <w:t>=8.2).</w:t>
      </w:r>
    </w:p>
    <w:p w:rsidR="00F0078F" w:rsidRDefault="00F0078F"/>
    <w:p w:rsidR="00F0078F" w:rsidRPr="00AF21A8" w:rsidRDefault="00A45F0E">
      <w:pPr>
        <w:rPr>
          <w:b/>
          <w:sz w:val="28"/>
          <w:szCs w:val="28"/>
        </w:rPr>
      </w:pPr>
      <w:r w:rsidRPr="00AF21A8">
        <w:rPr>
          <w:b/>
          <w:sz w:val="28"/>
          <w:szCs w:val="28"/>
        </w:rPr>
        <w:t>Salary</w:t>
      </w:r>
    </w:p>
    <w:p w:rsidR="00F0078F" w:rsidRDefault="00A45F0E">
      <w:r>
        <w:t>When the faculty were asked how they felt about their current salary, the mean response was somewhat dissatisfied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 w:rsidR="00AC1170">
        <w:t xml:space="preserve">3.31). The </w:t>
      </w:r>
      <w:proofErr w:type="gramStart"/>
      <w:r w:rsidR="00AC1170">
        <w:t>faculty</w:t>
      </w:r>
      <w:r>
        <w:t xml:space="preserve"> </w:t>
      </w:r>
      <w:r w:rsidR="00AF21A8">
        <w:t>were</w:t>
      </w:r>
      <w:proofErr w:type="gramEnd"/>
      <w:r>
        <w:t xml:space="preserve"> dissatisfied/</w:t>
      </w:r>
      <w:r w:rsidR="00AF21A8">
        <w:t xml:space="preserve"> </w:t>
      </w:r>
      <w:r>
        <w:t>somewhat dissatisfied with summer compensation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>2.92), but are neutral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>4.37)</w:t>
      </w:r>
      <w:r w:rsidR="00ED0793">
        <w:t xml:space="preserve"> </w:t>
      </w:r>
      <w:r>
        <w:t xml:space="preserve">when it comes to the opportunities for summer compensation. </w:t>
      </w:r>
    </w:p>
    <w:p w:rsidR="00F0078F" w:rsidRDefault="00F0078F"/>
    <w:p w:rsidR="00F0078F" w:rsidRDefault="00A45F0E">
      <w:r>
        <w:t>A second set of questions about salary centered on how concer</w:t>
      </w:r>
      <w:r w:rsidR="00AC1170">
        <w:t xml:space="preserve">ned the </w:t>
      </w:r>
      <w:proofErr w:type="gramStart"/>
      <w:r w:rsidR="00AC1170">
        <w:t>faculty</w:t>
      </w:r>
      <w:r>
        <w:t xml:space="preserve"> </w:t>
      </w:r>
      <w:r w:rsidR="00AF21A8">
        <w:t>were</w:t>
      </w:r>
      <w:proofErr w:type="gramEnd"/>
      <w:r>
        <w:t xml:space="preserve"> about</w:t>
      </w:r>
      <w:r w:rsidR="00AF21A8">
        <w:t xml:space="preserve"> salaries. When asked about concerns with</w:t>
      </w:r>
      <w:r>
        <w:t xml:space="preserve"> current salary, the respondents were </w:t>
      </w:r>
      <w:r w:rsidR="00ED0793">
        <w:t>somewhat concerned</w:t>
      </w:r>
      <w:r>
        <w:t xml:space="preserve"> </w:t>
      </w:r>
      <w:r w:rsidR="00ED0793">
        <w:t>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3.10</w:t>
      </w:r>
      <w:r w:rsidR="00ED0793">
        <w:t>)</w:t>
      </w:r>
      <w:r w:rsidR="00AC1170">
        <w:t>, and the faculty</w:t>
      </w:r>
      <w:r>
        <w:t xml:space="preserve"> were similarly </w:t>
      </w:r>
      <w:r w:rsidR="00ED0793">
        <w:t>somewhat concerned</w:t>
      </w:r>
      <w: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3.02) abo</w:t>
      </w:r>
      <w:r w:rsidR="00AC1170">
        <w:t>ut summer compensation. While the faculty</w:t>
      </w:r>
      <w:r>
        <w:t xml:space="preserve"> were also </w:t>
      </w:r>
      <w:r w:rsidR="00ED0793">
        <w:t>somewhat concerned</w:t>
      </w:r>
      <w: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3.74) about opportunities for summer compensation, the concern is slightly more elevated. </w:t>
      </w:r>
    </w:p>
    <w:p w:rsidR="00F0078F" w:rsidRDefault="00F0078F"/>
    <w:p w:rsidR="00F0078F" w:rsidRDefault="00A45F0E">
      <w:r>
        <w:t>When asked if faculty are treated equitably across the u</w:t>
      </w:r>
      <w:r w:rsidR="00E20F68">
        <w:t>niversity and college, the faculty</w:t>
      </w:r>
      <w:r w:rsidR="00ED0793">
        <w:t xml:space="preserve"> are concern</w:t>
      </w:r>
      <w:r w:rsidR="00AC1170">
        <w:t>ed</w:t>
      </w:r>
      <w: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4.9 and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4.38, respectively) suggesting that </w:t>
      </w:r>
      <w:r w:rsidR="00E20F68">
        <w:t xml:space="preserve">the faculty </w:t>
      </w:r>
      <w:r>
        <w:t>see/perceive less equity at the level of the university. At the department level, there is less of a concern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3.70) about equity.  Finally, when asked if there was equitable treatment of SFA faculty </w:t>
      </w:r>
      <w:r w:rsidR="00AF21A8">
        <w:t>as compared to</w:t>
      </w:r>
      <w:r>
        <w:t xml:space="preserve"> faculty at similar universities, there is some concern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4.70).</w:t>
      </w:r>
    </w:p>
    <w:p w:rsidR="00F0078F" w:rsidRDefault="00F0078F"/>
    <w:p w:rsidR="00F0078F" w:rsidRPr="00AF21A8" w:rsidRDefault="00A45F0E">
      <w:pPr>
        <w:rPr>
          <w:b/>
          <w:sz w:val="28"/>
          <w:szCs w:val="28"/>
        </w:rPr>
      </w:pPr>
      <w:r w:rsidRPr="00AF21A8">
        <w:rPr>
          <w:b/>
          <w:sz w:val="28"/>
          <w:szCs w:val="28"/>
        </w:rPr>
        <w:t>Teaching</w:t>
      </w:r>
    </w:p>
    <w:p w:rsidR="00F0078F" w:rsidRDefault="00A45F0E">
      <w:r>
        <w:t>Most faculty at SFA teach four course sections per semester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3.92, </w:t>
      </w:r>
      <w:proofErr w:type="spellStart"/>
      <w:r>
        <w:t>s.d</w:t>
      </w:r>
      <w:proofErr w:type="gramStart"/>
      <w:r>
        <w:t>.</w:t>
      </w:r>
      <w:proofErr w:type="spellEnd"/>
      <w:r>
        <w:t>=</w:t>
      </w:r>
      <w:proofErr w:type="gramEnd"/>
      <w:r>
        <w:t>1.56), and 6.5% of the faculty teach more than four sections. Most faculty do not teach laboratories; however, of those faculty who teach laboratories in addition to course sections, they teach 1 or 2 labs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1.51, </w:t>
      </w:r>
      <w:proofErr w:type="spellStart"/>
      <w:r>
        <w:t>s.d.</w:t>
      </w:r>
      <w:proofErr w:type="spellEnd"/>
      <w:r>
        <w:t>=1.27) and 6.6% teach more than three labs. The average faculty member has 107</w:t>
      </w:r>
      <w:r w:rsidR="00AF21A8">
        <w:t>students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 w:rsidR="00AF21A8">
        <w:t>107.48, s.d</w:t>
      </w:r>
      <w:proofErr w:type="gramStart"/>
      <w:r w:rsidR="00AF21A8">
        <w:t>.=</w:t>
      </w:r>
      <w:proofErr w:type="gramEnd"/>
      <w:r w:rsidR="00AF21A8">
        <w:t xml:space="preserve">77.66) </w:t>
      </w:r>
      <w:r>
        <w:t>per semester, is responsible for 134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133.56, s.d.=93.22) students, and spends 11.55 (s.d.=5.30) hours in the classroom each week. Most </w:t>
      </w:r>
      <w:r>
        <w:lastRenderedPageBreak/>
        <w:t xml:space="preserve">faculty do not get course releases, but those </w:t>
      </w:r>
      <w:r w:rsidR="00100018">
        <w:t xml:space="preserve">that </w:t>
      </w:r>
      <w:r>
        <w:t>do get one course release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1.33, </w:t>
      </w:r>
      <w:proofErr w:type="spellStart"/>
      <w:r>
        <w:t>s.d</w:t>
      </w:r>
      <w:proofErr w:type="gramStart"/>
      <w:r>
        <w:t>.</w:t>
      </w:r>
      <w:proofErr w:type="spellEnd"/>
      <w:r>
        <w:t>=</w:t>
      </w:r>
      <w:proofErr w:type="gramEnd"/>
      <w:r>
        <w:t xml:space="preserve">.81). </w:t>
      </w:r>
    </w:p>
    <w:p w:rsidR="00F0078F" w:rsidRDefault="00F0078F"/>
    <w:p w:rsidR="00F0078F" w:rsidRDefault="00A45F0E">
      <w:r>
        <w:t>When asked how satisfied they are with their current teaching workload, faculty were somewhat satisfied/satisfied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4.95); however</w:t>
      </w:r>
      <w:r w:rsidR="00AF21A8">
        <w:t>,</w:t>
      </w:r>
      <w:r>
        <w:t xml:space="preserve"> when asked how concerned </w:t>
      </w:r>
      <w:r w:rsidR="00AF21A8">
        <w:t xml:space="preserve">they were </w:t>
      </w:r>
      <w:r>
        <w:t>with their current workload, they were somewhat dissatisfied to neutral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3.89). Faculty are neutral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4.32) when it came to their college’s current workload policy. </w:t>
      </w:r>
    </w:p>
    <w:p w:rsidR="00A45F0E" w:rsidRDefault="00A45F0E"/>
    <w:p w:rsidR="00F0078F" w:rsidRPr="00A45F0E" w:rsidRDefault="00A45F0E">
      <w:pPr>
        <w:rPr>
          <w:b/>
          <w:sz w:val="28"/>
          <w:szCs w:val="28"/>
        </w:rPr>
      </w:pPr>
      <w:r w:rsidRPr="00A45F0E">
        <w:rPr>
          <w:b/>
          <w:sz w:val="28"/>
          <w:szCs w:val="28"/>
        </w:rPr>
        <w:t>Research</w:t>
      </w:r>
    </w:p>
    <w:p w:rsidR="00F0078F" w:rsidRDefault="00A45F0E">
      <w:proofErr w:type="gramStart"/>
      <w:r>
        <w:t>When  asked</w:t>
      </w:r>
      <w:proofErr w:type="gramEnd"/>
      <w:r>
        <w:t xml:space="preserve"> about the level of satisfaction about their current research/ scholarship, the faculty were neutral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4.22) and were somewhat dissatisfied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3.07) with the amount of time the</w:t>
      </w:r>
      <w:r w:rsidR="00100018">
        <w:t>y</w:t>
      </w:r>
      <w:r>
        <w:t xml:space="preserve"> have for our research/scholarship. When asked about how they felt about their college’s requirements and expectations for research and scholarship, they were neither satisfied nor dissatisfied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4.10). </w:t>
      </w:r>
    </w:p>
    <w:p w:rsidR="00A45F0E" w:rsidRDefault="00A45F0E"/>
    <w:p w:rsidR="00F0078F" w:rsidRPr="00A45F0E" w:rsidRDefault="00A45F0E">
      <w:pPr>
        <w:rPr>
          <w:b/>
          <w:sz w:val="28"/>
          <w:szCs w:val="28"/>
        </w:rPr>
      </w:pPr>
      <w:r w:rsidRPr="00A45F0E">
        <w:rPr>
          <w:b/>
          <w:sz w:val="28"/>
          <w:szCs w:val="28"/>
        </w:rPr>
        <w:t>Service</w:t>
      </w:r>
    </w:p>
    <w:p w:rsidR="00F0078F" w:rsidRDefault="00A45F0E">
      <w:proofErr w:type="gramStart"/>
      <w:r>
        <w:t>Faculty were</w:t>
      </w:r>
      <w:proofErr w:type="gramEnd"/>
      <w:r>
        <w:t xml:space="preserve"> more positive when it came to service opportunities at SFA. When asked how satisfied/dissatisfied they were with service opportunities at the university and college levels, they were neutral to somewhat 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4.77 and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4.92, respectively) and they were somewhat 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>5.32) with the opportunities in their own departments. Faculty are neutral to somewhat satisfied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 xml:space="preserve">4.87) with their current service experiences. When asked how concerned they were with the University expectations regarding service, they </w:t>
      </w:r>
      <w:r w:rsidR="00100018">
        <w:t xml:space="preserve">are </w:t>
      </w:r>
      <w:r w:rsidR="00AC1170">
        <w:t>not too concerned</w:t>
      </w:r>
      <w:r>
        <w:t xml:space="preserve"> at the university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ED0793">
        <w:t>=</w:t>
      </w:r>
      <w:r>
        <w:t>2.88), college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>2.80), and department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>2.44</w:t>
      </w:r>
      <w:r w:rsidR="00AC1170">
        <w:t xml:space="preserve">) levels. </w:t>
      </w:r>
    </w:p>
    <w:p w:rsidR="00ED0793" w:rsidRDefault="00ED0793"/>
    <w:p w:rsidR="00ED0793" w:rsidRPr="00A45F0E" w:rsidRDefault="00ED0793">
      <w:pPr>
        <w:rPr>
          <w:b/>
          <w:sz w:val="28"/>
          <w:szCs w:val="28"/>
        </w:rPr>
      </w:pPr>
      <w:r w:rsidRPr="00A45F0E">
        <w:rPr>
          <w:b/>
          <w:sz w:val="28"/>
          <w:szCs w:val="28"/>
        </w:rPr>
        <w:t>Recruiting and Retention</w:t>
      </w:r>
    </w:p>
    <w:p w:rsidR="00AC1170" w:rsidRDefault="00AC1170">
      <w:r>
        <w:t xml:space="preserve">A third set of questions was asked about how the issues presented above may affect </w:t>
      </w:r>
      <w:r w:rsidR="00A45F0E">
        <w:t xml:space="preserve">(helpfulness) </w:t>
      </w:r>
      <w:r>
        <w:t>recruitment and retention of faculty at SFA. Salary, the possibility for summer compensation, and time for research 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3.10,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3.02, and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t xml:space="preserve">3.31, respectively) were the factors that the faculty indicated were not too helpful for recruitment and retention of faculty.  All of the other categories were evaluated as being somewhat helpful to helpful. </w:t>
      </w:r>
    </w:p>
    <w:p w:rsidR="00AC1170" w:rsidRDefault="00AC1170"/>
    <w:sectPr w:rsidR="00AC1170" w:rsidSect="00F007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2"/>
    <w:rsid w:val="00100018"/>
    <w:rsid w:val="00130C4B"/>
    <w:rsid w:val="006E0B02"/>
    <w:rsid w:val="007F6A75"/>
    <w:rsid w:val="00A45F0E"/>
    <w:rsid w:val="00AC1170"/>
    <w:rsid w:val="00AF21A8"/>
    <w:rsid w:val="00B93185"/>
    <w:rsid w:val="00E20F68"/>
    <w:rsid w:val="00ED0793"/>
    <w:rsid w:val="00F0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B93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B93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Perceptions Survey 2013 Summary</vt:lpstr>
    </vt:vector>
  </TitlesOfParts>
  <Company>Southern Illinois University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Perceptions Survey 2013 Summary</dc:title>
  <dc:creator>Leslie  Cecil</dc:creator>
  <cp:lastModifiedBy>Roni Lias</cp:lastModifiedBy>
  <cp:revision>2</cp:revision>
  <dcterms:created xsi:type="dcterms:W3CDTF">2014-03-25T19:20:00Z</dcterms:created>
  <dcterms:modified xsi:type="dcterms:W3CDTF">2014-03-25T19:20:00Z</dcterms:modified>
</cp:coreProperties>
</file>