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72965" w14:textId="57697FB0" w:rsidR="006479B4" w:rsidRPr="0071466E" w:rsidRDefault="00114719">
      <w:pPr>
        <w:pStyle w:val="paragraph"/>
        <w:jc w:val="center"/>
        <w:textAlignment w:val="baseline"/>
        <w:rPr>
          <w:rFonts w:asciiTheme="minorHAnsi" w:eastAsiaTheme="minorEastAsia" w:hAnsiTheme="minorHAnsi" w:cstheme="minorBidi"/>
          <w:sz w:val="12"/>
          <w:szCs w:val="12"/>
        </w:rPr>
      </w:pPr>
      <w:r w:rsidRPr="0071466E">
        <w:rPr>
          <w:rStyle w:val="normaltextrun"/>
          <w:rFonts w:asciiTheme="minorHAnsi" w:eastAsiaTheme="minorEastAsia" w:hAnsiTheme="minorHAnsi" w:cstheme="minorBidi"/>
          <w:b/>
          <w:bCs/>
          <w:sz w:val="28"/>
          <w:szCs w:val="28"/>
        </w:rPr>
        <w:t>Strategy #</w:t>
      </w:r>
      <w:r w:rsidR="0087763D" w:rsidRPr="0071466E">
        <w:rPr>
          <w:rStyle w:val="normaltextrun"/>
          <w:rFonts w:asciiTheme="minorHAnsi" w:eastAsiaTheme="minorEastAsia" w:hAnsiTheme="minorHAnsi" w:cstheme="minorBidi"/>
          <w:b/>
          <w:bCs/>
          <w:sz w:val="28"/>
          <w:szCs w:val="28"/>
        </w:rPr>
        <w:t xml:space="preserve">3 </w:t>
      </w:r>
      <w:r w:rsidRPr="0071466E">
        <w:rPr>
          <w:rStyle w:val="normaltextrun"/>
          <w:rFonts w:asciiTheme="minorHAnsi" w:eastAsiaTheme="minorEastAsia" w:hAnsiTheme="minorHAnsi" w:cstheme="minorBidi"/>
          <w:b/>
          <w:bCs/>
          <w:sz w:val="28"/>
          <w:szCs w:val="28"/>
        </w:rPr>
        <w:t>Recommendations</w:t>
      </w:r>
      <w:r w:rsidR="006479B4" w:rsidRPr="007E28DD">
        <w:rPr>
          <w:rStyle w:val="eop"/>
          <w:rFonts w:asciiTheme="minorHAnsi" w:hAnsiTheme="minorHAnsi" w:cs="Segoe UI"/>
          <w:sz w:val="28"/>
          <w:szCs w:val="28"/>
        </w:rPr>
        <w:br/>
      </w:r>
      <w:r w:rsidR="006479B4" w:rsidRPr="0071466E">
        <w:rPr>
          <w:rStyle w:val="eop"/>
          <w:rFonts w:asciiTheme="minorHAnsi" w:eastAsiaTheme="minorEastAsia" w:hAnsiTheme="minorHAnsi" w:cstheme="minorBidi"/>
          <w:b/>
          <w:bCs/>
        </w:rPr>
        <w:t>Teaching &amp; Learning Advancement</w:t>
      </w:r>
      <w:r w:rsidRPr="0071466E">
        <w:rPr>
          <w:rStyle w:val="eop"/>
          <w:rFonts w:asciiTheme="minorHAnsi" w:eastAsiaTheme="minorEastAsia" w:hAnsiTheme="minorHAnsi" w:cstheme="minorBidi"/>
          <w:b/>
          <w:bCs/>
        </w:rPr>
        <w:t xml:space="preserve"> Team</w:t>
      </w:r>
      <w:r w:rsidRPr="0071466E">
        <w:rPr>
          <w:rStyle w:val="FootnoteReference"/>
          <w:rFonts w:asciiTheme="minorHAnsi" w:eastAsiaTheme="minorEastAsia" w:hAnsiTheme="minorHAnsi" w:cstheme="minorBidi"/>
          <w:b/>
          <w:bCs/>
        </w:rPr>
        <w:footnoteReference w:id="1"/>
      </w:r>
    </w:p>
    <w:p w14:paraId="7D0083A1" w14:textId="6028894F" w:rsidR="00114719" w:rsidRPr="004830DF" w:rsidRDefault="00114719" w:rsidP="004830DF">
      <w:pPr>
        <w:pStyle w:val="paragraph"/>
        <w:textAlignment w:val="baseline"/>
        <w:rPr>
          <w:rStyle w:val="normaltextrun"/>
          <w:rFonts w:asciiTheme="minorHAnsi" w:eastAsiaTheme="minorEastAsia" w:hAnsiTheme="minorHAnsi" w:cstheme="minorBidi"/>
          <w:sz w:val="22"/>
          <w:szCs w:val="22"/>
        </w:rPr>
      </w:pPr>
      <w:r w:rsidRPr="004830DF">
        <w:rPr>
          <w:rStyle w:val="normaltextrun"/>
          <w:rFonts w:asciiTheme="minorHAnsi" w:eastAsiaTheme="minorEastAsia" w:hAnsiTheme="minorHAnsi" w:cstheme="minorBidi"/>
          <w:sz w:val="22"/>
          <w:szCs w:val="22"/>
        </w:rPr>
        <w:t xml:space="preserve">The Teaching &amp; Learning Advancement Team </w:t>
      </w:r>
      <w:r w:rsidR="0067691D" w:rsidRPr="004830DF">
        <w:rPr>
          <w:rStyle w:val="normaltextrun"/>
          <w:rFonts w:asciiTheme="minorHAnsi" w:eastAsiaTheme="minorEastAsia" w:hAnsiTheme="minorHAnsi" w:cstheme="minorBidi"/>
          <w:sz w:val="22"/>
          <w:szCs w:val="22"/>
        </w:rPr>
        <w:t>was created</w:t>
      </w:r>
      <w:r w:rsidRPr="004830DF">
        <w:rPr>
          <w:rStyle w:val="normaltextrun"/>
          <w:rFonts w:asciiTheme="minorHAnsi" w:eastAsiaTheme="minorEastAsia" w:hAnsiTheme="minorHAnsi" w:cstheme="minorBidi"/>
          <w:sz w:val="22"/>
          <w:szCs w:val="22"/>
        </w:rPr>
        <w:t xml:space="preserve"> </w:t>
      </w:r>
      <w:r w:rsidR="0067691D" w:rsidRPr="004830DF">
        <w:rPr>
          <w:rStyle w:val="normaltextrun"/>
          <w:rFonts w:asciiTheme="minorHAnsi" w:eastAsiaTheme="minorEastAsia" w:hAnsiTheme="minorHAnsi" w:cstheme="minorBidi"/>
          <w:sz w:val="22"/>
          <w:szCs w:val="22"/>
        </w:rPr>
        <w:t xml:space="preserve">to </w:t>
      </w:r>
      <w:r w:rsidRPr="004830DF">
        <w:rPr>
          <w:rStyle w:val="normaltextrun"/>
          <w:rFonts w:asciiTheme="minorHAnsi" w:eastAsiaTheme="minorEastAsia" w:hAnsiTheme="minorHAnsi" w:cstheme="minorBidi"/>
          <w:sz w:val="22"/>
          <w:szCs w:val="22"/>
        </w:rPr>
        <w:t>support of the strategic plan goal of fostering academic and co-curricular innovation.</w:t>
      </w:r>
      <w:r w:rsidR="0067691D" w:rsidRPr="004830DF">
        <w:rPr>
          <w:rStyle w:val="normaltextrun"/>
          <w:rFonts w:asciiTheme="minorHAnsi" w:eastAsiaTheme="minorEastAsia" w:hAnsiTheme="minorHAnsi" w:cstheme="minorBidi"/>
          <w:sz w:val="22"/>
          <w:szCs w:val="22"/>
        </w:rPr>
        <w:t xml:space="preserve"> This team is investigating ways to engage and inspire faculty, staff, and students by creating a supportive environment for intellectual inquiry and educator development. This environment—both cultural and physical—must be student-centered, committed to teaching excellence, and dedicated to meeting the needs of learners. </w:t>
      </w:r>
    </w:p>
    <w:p w14:paraId="37ABDDB6" w14:textId="77777777" w:rsidR="006479B4" w:rsidRPr="004830DF" w:rsidRDefault="006479B4" w:rsidP="004830DF">
      <w:pPr>
        <w:pStyle w:val="paragraph"/>
        <w:textAlignment w:val="baseline"/>
        <w:rPr>
          <w:rFonts w:asciiTheme="minorHAnsi" w:eastAsiaTheme="minorEastAsia" w:hAnsiTheme="minorHAnsi" w:cstheme="minorBidi"/>
          <w:sz w:val="22"/>
          <w:szCs w:val="22"/>
        </w:rPr>
      </w:pPr>
      <w:r w:rsidRPr="004830DF">
        <w:rPr>
          <w:rStyle w:val="normaltextrun"/>
          <w:rFonts w:asciiTheme="minorHAnsi" w:eastAsiaTheme="minorEastAsia" w:hAnsiTheme="minorHAnsi" w:cstheme="minorBidi"/>
          <w:sz w:val="22"/>
          <w:szCs w:val="22"/>
          <w:u w:val="single"/>
        </w:rPr>
        <w:t>Applicable Vision Statement Elements</w:t>
      </w:r>
      <w:r w:rsidRPr="004830DF">
        <w:rPr>
          <w:rStyle w:val="eop"/>
          <w:rFonts w:asciiTheme="minorHAnsi" w:eastAsiaTheme="minorEastAsia" w:hAnsiTheme="minorHAnsi" w:cstheme="minorBidi"/>
          <w:sz w:val="22"/>
          <w:szCs w:val="22"/>
        </w:rPr>
        <w:t> </w:t>
      </w:r>
    </w:p>
    <w:p w14:paraId="576556AC" w14:textId="77777777" w:rsidR="006479B4" w:rsidRPr="004830DF" w:rsidRDefault="006479B4" w:rsidP="004830DF">
      <w:pPr>
        <w:pStyle w:val="paragraph"/>
        <w:shd w:val="clear" w:color="auto" w:fill="FFFFFF" w:themeFill="background1"/>
        <w:textAlignment w:val="baseline"/>
        <w:rPr>
          <w:rFonts w:asciiTheme="minorHAnsi" w:eastAsiaTheme="minorEastAsia" w:hAnsiTheme="minorHAnsi" w:cstheme="minorBidi"/>
          <w:b/>
          <w:bCs/>
          <w:sz w:val="22"/>
          <w:szCs w:val="22"/>
        </w:rPr>
      </w:pPr>
      <w:r w:rsidRPr="004830DF">
        <w:rPr>
          <w:rStyle w:val="normaltextrun"/>
          <w:rFonts w:asciiTheme="minorHAnsi" w:eastAsiaTheme="minorEastAsia" w:hAnsiTheme="minorHAnsi" w:cstheme="minorBidi"/>
          <w:sz w:val="22"/>
          <w:szCs w:val="22"/>
        </w:rPr>
        <w:t>[1] Stephen F. Austin State University (SFA) will have a distinct and stellar reputation based on the transformational learning experiences we provide for all our students in an exceptional setting. We will not use the term "transformational" lightly. We will be deeply committed to providing high impact, experiential learning for all SFA students.</w:t>
      </w:r>
      <w:r w:rsidRPr="004830DF">
        <w:rPr>
          <w:rStyle w:val="eop"/>
          <w:rFonts w:asciiTheme="minorHAnsi" w:eastAsiaTheme="minorEastAsia" w:hAnsiTheme="minorHAnsi" w:cstheme="minorBidi"/>
          <w:b/>
          <w:bCs/>
          <w:sz w:val="22"/>
          <w:szCs w:val="22"/>
        </w:rPr>
        <w:t> </w:t>
      </w:r>
    </w:p>
    <w:p w14:paraId="65BAF03B" w14:textId="77777777" w:rsidR="006479B4" w:rsidRPr="004830DF" w:rsidRDefault="006479B4" w:rsidP="004830DF">
      <w:pPr>
        <w:pStyle w:val="paragraph"/>
        <w:shd w:val="clear" w:color="auto" w:fill="FFFFFF" w:themeFill="background1"/>
        <w:textAlignment w:val="baseline"/>
        <w:rPr>
          <w:rFonts w:asciiTheme="minorHAnsi" w:eastAsiaTheme="minorEastAsia" w:hAnsiTheme="minorHAnsi" w:cstheme="minorBidi"/>
          <w:b/>
          <w:bCs/>
          <w:sz w:val="22"/>
          <w:szCs w:val="22"/>
        </w:rPr>
      </w:pPr>
      <w:r w:rsidRPr="004830DF">
        <w:rPr>
          <w:rStyle w:val="normaltextrun"/>
          <w:rFonts w:asciiTheme="minorHAnsi" w:eastAsiaTheme="minorEastAsia" w:hAnsiTheme="minorHAnsi" w:cstheme="minorBidi"/>
          <w:sz w:val="22"/>
          <w:szCs w:val="22"/>
        </w:rPr>
        <w:t xml:space="preserve">[4] We will achieve financial sustainability by meeting tough choices head-on and making smart decisions about the future of the university. We will diversify our revenue streams, allocate our resources strategically, increase our private funding, and achieve meaningful enrollment growth. We will </w:t>
      </w:r>
      <w:proofErr w:type="gramStart"/>
      <w:r w:rsidRPr="004830DF">
        <w:rPr>
          <w:rStyle w:val="normaltextrun"/>
          <w:rFonts w:asciiTheme="minorHAnsi" w:eastAsiaTheme="minorEastAsia" w:hAnsiTheme="minorHAnsi" w:cstheme="minorBidi"/>
          <w:sz w:val="22"/>
          <w:szCs w:val="22"/>
        </w:rPr>
        <w:t>invest</w:t>
      </w:r>
      <w:proofErr w:type="gramEnd"/>
      <w:r w:rsidRPr="004830DF">
        <w:rPr>
          <w:rStyle w:val="normaltextrun"/>
          <w:rFonts w:asciiTheme="minorHAnsi" w:eastAsiaTheme="minorEastAsia" w:hAnsiTheme="minorHAnsi" w:cstheme="minorBidi"/>
          <w:sz w:val="22"/>
          <w:szCs w:val="22"/>
        </w:rPr>
        <w:t xml:space="preserve"> in our people and achieve appropriate levels of compensation, reward, and recognition. Professional development for faculty and staff will be seen as an investment and not an expense because our people are the greatest asset we have.</w:t>
      </w:r>
      <w:r w:rsidRPr="004830DF">
        <w:rPr>
          <w:rStyle w:val="eop"/>
          <w:rFonts w:asciiTheme="minorHAnsi" w:eastAsiaTheme="minorEastAsia" w:hAnsiTheme="minorHAnsi" w:cstheme="minorBidi"/>
          <w:b/>
          <w:bCs/>
          <w:sz w:val="22"/>
          <w:szCs w:val="22"/>
        </w:rPr>
        <w:t> </w:t>
      </w:r>
    </w:p>
    <w:p w14:paraId="4F9EE8EA" w14:textId="77777777" w:rsidR="006479B4" w:rsidRPr="004830DF" w:rsidRDefault="006479B4" w:rsidP="004830DF">
      <w:pPr>
        <w:pStyle w:val="paragraph"/>
        <w:shd w:val="clear" w:color="auto" w:fill="FFFFFF" w:themeFill="background1"/>
        <w:textAlignment w:val="baseline"/>
        <w:rPr>
          <w:rStyle w:val="eop"/>
          <w:rFonts w:asciiTheme="minorHAnsi" w:eastAsiaTheme="minorEastAsia" w:hAnsiTheme="minorHAnsi" w:cstheme="minorBidi"/>
          <w:b/>
          <w:bCs/>
          <w:sz w:val="22"/>
          <w:szCs w:val="22"/>
        </w:rPr>
      </w:pPr>
      <w:r w:rsidRPr="004830DF">
        <w:rPr>
          <w:rStyle w:val="normaltextrun"/>
          <w:rFonts w:asciiTheme="minorHAnsi" w:eastAsiaTheme="minorEastAsia" w:hAnsiTheme="minorHAnsi" w:cstheme="minorBidi"/>
          <w:sz w:val="22"/>
          <w:szCs w:val="22"/>
        </w:rPr>
        <w:t>[5] We will be an innovative university. We will reach our students where they are and prepare them for life-long learning and career responsiveness in the twenty-first century. We will use cutting-edge teaching techniques and advanced research methods both inside and outside the classroom. We will be a forward-thinking university that not only is responsive to the realities of higher education but also is a leader in academia. Technology will be appropriately and sensibly infused throughout the campus in our classrooms and operations. It will facilitate-not drive-how we teach and work together.</w:t>
      </w:r>
      <w:r w:rsidRPr="004830DF">
        <w:rPr>
          <w:rStyle w:val="eop"/>
          <w:rFonts w:asciiTheme="minorHAnsi" w:eastAsiaTheme="minorEastAsia" w:hAnsiTheme="minorHAnsi" w:cstheme="minorBidi"/>
          <w:b/>
          <w:bCs/>
          <w:sz w:val="22"/>
          <w:szCs w:val="22"/>
        </w:rPr>
        <w:t> </w:t>
      </w:r>
    </w:p>
    <w:p w14:paraId="283654E4" w14:textId="46EE0CAC" w:rsidR="00114719" w:rsidRPr="004830DF" w:rsidRDefault="00114719" w:rsidP="004830DF">
      <w:pPr>
        <w:pStyle w:val="paragraph"/>
        <w:shd w:val="clear" w:color="auto" w:fill="FFFFFF" w:themeFill="background1"/>
        <w:textAlignment w:val="baseline"/>
        <w:rPr>
          <w:rFonts w:asciiTheme="minorHAnsi" w:eastAsiaTheme="minorEastAsia" w:hAnsiTheme="minorHAnsi" w:cstheme="minorBidi"/>
          <w:sz w:val="22"/>
          <w:szCs w:val="22"/>
        </w:rPr>
      </w:pPr>
      <w:r w:rsidRPr="004830DF">
        <w:rPr>
          <w:rStyle w:val="eop"/>
          <w:rFonts w:asciiTheme="minorHAnsi" w:eastAsiaTheme="minorEastAsia" w:hAnsiTheme="minorHAnsi" w:cstheme="minorBidi"/>
          <w:b/>
          <w:bCs/>
          <w:sz w:val="22"/>
          <w:szCs w:val="22"/>
          <w:u w:val="single"/>
        </w:rPr>
        <w:t>Strategy #1:</w:t>
      </w:r>
      <w:r w:rsidRPr="004830DF">
        <w:rPr>
          <w:rStyle w:val="eop"/>
          <w:rFonts w:asciiTheme="minorHAnsi" w:eastAsiaTheme="minorEastAsia" w:hAnsiTheme="minorHAnsi" w:cstheme="minorBidi"/>
          <w:sz w:val="22"/>
          <w:szCs w:val="22"/>
        </w:rPr>
        <w:t xml:space="preserve"> Enhance existing classroom spaces and use to support effective teaching.</w:t>
      </w:r>
      <w:r w:rsidRPr="004830DF">
        <w:rPr>
          <w:rStyle w:val="FootnoteReference"/>
          <w:rFonts w:asciiTheme="minorHAnsi" w:eastAsiaTheme="minorEastAsia" w:hAnsiTheme="minorHAnsi" w:cstheme="minorBidi"/>
          <w:sz w:val="22"/>
          <w:szCs w:val="22"/>
        </w:rPr>
        <w:footnoteReference w:id="2"/>
      </w:r>
    </w:p>
    <w:p w14:paraId="1E5A3EEA" w14:textId="09DE825D" w:rsidR="006479B4" w:rsidRPr="004830DF" w:rsidRDefault="006479B4" w:rsidP="004830DF">
      <w:pPr>
        <w:pStyle w:val="NormalWeb"/>
        <w:spacing w:before="0" w:beforeAutospacing="0" w:after="0" w:afterAutospacing="0"/>
        <w:rPr>
          <w:rFonts w:asciiTheme="minorHAnsi" w:eastAsiaTheme="minorEastAsia" w:hAnsiTheme="minorHAnsi" w:cstheme="minorBidi"/>
          <w:color w:val="000000" w:themeColor="text1"/>
          <w:sz w:val="22"/>
          <w:szCs w:val="22"/>
        </w:rPr>
      </w:pPr>
      <w:r w:rsidRPr="004830DF">
        <w:rPr>
          <w:rStyle w:val="normaltextrun"/>
          <w:rFonts w:asciiTheme="minorHAnsi" w:eastAsiaTheme="minorEastAsia" w:hAnsiTheme="minorHAnsi" w:cstheme="minorBidi"/>
          <w:b/>
          <w:bCs/>
          <w:sz w:val="22"/>
          <w:szCs w:val="22"/>
          <w:u w:val="single"/>
        </w:rPr>
        <w:t>Strategy #2:</w:t>
      </w:r>
      <w:r w:rsidRPr="004830DF">
        <w:rPr>
          <w:rStyle w:val="normaltextrun"/>
          <w:rFonts w:asciiTheme="minorHAnsi" w:eastAsiaTheme="minorEastAsia" w:hAnsiTheme="minorHAnsi" w:cstheme="minorBidi"/>
          <w:b/>
          <w:bCs/>
          <w:sz w:val="22"/>
          <w:szCs w:val="22"/>
        </w:rPr>
        <w:t xml:space="preserve"> </w:t>
      </w:r>
      <w:r w:rsidRPr="004830DF">
        <w:rPr>
          <w:rFonts w:asciiTheme="minorHAnsi" w:eastAsiaTheme="minorEastAsia" w:hAnsiTheme="minorHAnsi" w:cstheme="minorBidi"/>
          <w:color w:val="000000"/>
          <w:sz w:val="22"/>
          <w:szCs w:val="22"/>
        </w:rPr>
        <w:t xml:space="preserve">Enhance effective instruction </w:t>
      </w:r>
      <w:r w:rsidR="00FA273C" w:rsidRPr="004830DF">
        <w:rPr>
          <w:rFonts w:asciiTheme="minorHAnsi" w:eastAsiaTheme="minorEastAsia" w:hAnsiTheme="minorHAnsi" w:cstheme="minorBidi"/>
          <w:color w:val="000000"/>
          <w:sz w:val="22"/>
          <w:szCs w:val="22"/>
        </w:rPr>
        <w:t>by strengthening educator</w:t>
      </w:r>
      <w:r w:rsidR="00736184" w:rsidRPr="004830DF">
        <w:rPr>
          <w:rFonts w:asciiTheme="minorHAnsi" w:eastAsiaTheme="minorEastAsia" w:hAnsiTheme="minorHAnsi" w:cstheme="minorBidi"/>
          <w:color w:val="000000"/>
          <w:sz w:val="22"/>
          <w:szCs w:val="22"/>
        </w:rPr>
        <w:t xml:space="preserve"> </w:t>
      </w:r>
      <w:r w:rsidR="00FA273C" w:rsidRPr="004830DF">
        <w:rPr>
          <w:rFonts w:asciiTheme="minorHAnsi" w:eastAsiaTheme="minorEastAsia" w:hAnsiTheme="minorHAnsi" w:cstheme="minorBidi"/>
          <w:color w:val="000000"/>
          <w:sz w:val="22"/>
          <w:szCs w:val="22"/>
        </w:rPr>
        <w:t>development offerings and providing</w:t>
      </w:r>
      <w:r w:rsidR="00736184" w:rsidRPr="004830DF">
        <w:rPr>
          <w:rFonts w:asciiTheme="minorHAnsi" w:eastAsiaTheme="minorEastAsia" w:hAnsiTheme="minorHAnsi" w:cstheme="minorBidi"/>
          <w:color w:val="000000"/>
          <w:sz w:val="22"/>
          <w:szCs w:val="22"/>
        </w:rPr>
        <w:t xml:space="preserve"> resources</w:t>
      </w:r>
      <w:r w:rsidR="00FA273C" w:rsidRPr="004830DF">
        <w:rPr>
          <w:rFonts w:asciiTheme="minorHAnsi" w:eastAsiaTheme="minorEastAsia" w:hAnsiTheme="minorHAnsi" w:cstheme="minorBidi"/>
          <w:color w:val="000000"/>
          <w:sz w:val="22"/>
          <w:szCs w:val="22"/>
        </w:rPr>
        <w:t xml:space="preserve"> to those taking part in teaching as a scholarly endeavor and those seeking to improve their teaching by engaging in evidence-based teaching</w:t>
      </w:r>
      <w:r w:rsidRPr="004830DF">
        <w:rPr>
          <w:rFonts w:asciiTheme="minorHAnsi" w:eastAsiaTheme="minorEastAsia" w:hAnsiTheme="minorHAnsi" w:cstheme="minorBidi"/>
          <w:color w:val="000000"/>
          <w:sz w:val="22"/>
          <w:szCs w:val="22"/>
        </w:rPr>
        <w:t>.</w:t>
      </w:r>
      <w:r w:rsidR="00F668A7" w:rsidRPr="004830DF">
        <w:rPr>
          <w:rStyle w:val="FootnoteReference"/>
          <w:rFonts w:asciiTheme="minorHAnsi" w:eastAsiaTheme="minorEastAsia" w:hAnsiTheme="minorHAnsi" w:cstheme="minorBidi"/>
          <w:color w:val="000000"/>
          <w:sz w:val="22"/>
          <w:szCs w:val="22"/>
        </w:rPr>
        <w:footnoteReference w:id="3"/>
      </w:r>
    </w:p>
    <w:p w14:paraId="780C1E78" w14:textId="77777777" w:rsidR="0087763D" w:rsidRPr="004830DF" w:rsidRDefault="0087763D" w:rsidP="004830DF">
      <w:pPr>
        <w:pStyle w:val="NormalWeb"/>
        <w:spacing w:before="0" w:beforeAutospacing="0" w:after="0" w:afterAutospacing="0"/>
        <w:rPr>
          <w:rFonts w:asciiTheme="minorHAnsi" w:hAnsiTheme="minorHAnsi"/>
          <w:color w:val="000000"/>
          <w:sz w:val="22"/>
          <w:szCs w:val="22"/>
        </w:rPr>
      </w:pPr>
    </w:p>
    <w:p w14:paraId="03F9E912" w14:textId="2682AA53" w:rsidR="0087763D" w:rsidRPr="004830DF" w:rsidRDefault="0087763D" w:rsidP="004830DF">
      <w:pPr>
        <w:pStyle w:val="NormalWeb"/>
        <w:spacing w:before="0" w:beforeAutospacing="0" w:after="0" w:afterAutospacing="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Strategy #3:</w:t>
      </w:r>
      <w:r w:rsidRPr="004830DF">
        <w:rPr>
          <w:rFonts w:asciiTheme="minorHAnsi" w:eastAsia="Calibri" w:hAnsiTheme="minorHAnsi" w:cs="Calibri"/>
          <w:color w:val="000000"/>
          <w:sz w:val="22"/>
          <w:szCs w:val="22"/>
        </w:rPr>
        <w:t xml:space="preserve"> Support </w:t>
      </w:r>
      <w:r w:rsidR="00FE7E72" w:rsidRPr="004830DF">
        <w:rPr>
          <w:rFonts w:asciiTheme="minorHAnsi" w:eastAsia="Calibri" w:hAnsiTheme="minorHAnsi" w:cs="Calibri"/>
          <w:color w:val="000000"/>
          <w:sz w:val="22"/>
          <w:szCs w:val="22"/>
        </w:rPr>
        <w:t xml:space="preserve">faculty </w:t>
      </w:r>
      <w:r w:rsidRPr="004830DF">
        <w:rPr>
          <w:rFonts w:asciiTheme="minorHAnsi" w:eastAsia="Calibri" w:hAnsiTheme="minorHAnsi" w:cs="Calibri"/>
          <w:color w:val="000000"/>
          <w:sz w:val="22"/>
          <w:szCs w:val="22"/>
        </w:rPr>
        <w:t>engaging in the scholarship of teaching and learning</w:t>
      </w:r>
      <w:r w:rsidR="008D07E5" w:rsidRPr="004830DF">
        <w:rPr>
          <w:rFonts w:asciiTheme="minorHAnsi" w:eastAsia="Calibri" w:hAnsiTheme="minorHAnsi" w:cs="Calibri"/>
          <w:color w:val="000000"/>
          <w:sz w:val="22"/>
          <w:szCs w:val="22"/>
        </w:rPr>
        <w:t xml:space="preserve"> (</w:t>
      </w:r>
      <w:proofErr w:type="spellStart"/>
      <w:r w:rsidR="008D07E5" w:rsidRPr="004830DF">
        <w:rPr>
          <w:rFonts w:asciiTheme="minorHAnsi" w:eastAsia="Calibri" w:hAnsiTheme="minorHAnsi" w:cs="Calibri"/>
          <w:color w:val="000000"/>
          <w:sz w:val="22"/>
          <w:szCs w:val="22"/>
        </w:rPr>
        <w:t>SoTL</w:t>
      </w:r>
      <w:proofErr w:type="spellEnd"/>
      <w:r w:rsidR="008D07E5" w:rsidRPr="004830DF">
        <w:rPr>
          <w:rFonts w:asciiTheme="minorHAnsi" w:eastAsia="Calibri" w:hAnsiTheme="minorHAnsi" w:cs="Calibri"/>
          <w:color w:val="000000"/>
          <w:sz w:val="22"/>
          <w:szCs w:val="22"/>
        </w:rPr>
        <w:t>)</w:t>
      </w:r>
      <w:r w:rsidR="00FE7E72" w:rsidRPr="004830DF">
        <w:rPr>
          <w:rFonts w:asciiTheme="minorHAnsi" w:eastAsia="Calibri" w:hAnsiTheme="minorHAnsi" w:cs="Calibri"/>
          <w:color w:val="000000"/>
          <w:sz w:val="22"/>
          <w:szCs w:val="22"/>
        </w:rPr>
        <w:t>, scholarly teaching, and mentored student research and creative activity.</w:t>
      </w:r>
      <w:r w:rsidR="00FE7E72" w:rsidRPr="004830DF" w:rsidDel="00FE7E72">
        <w:rPr>
          <w:rFonts w:asciiTheme="minorHAnsi" w:eastAsia="Calibri" w:hAnsiTheme="minorHAnsi" w:cs="Calibri"/>
          <w:color w:val="000000"/>
          <w:sz w:val="22"/>
          <w:szCs w:val="22"/>
        </w:rPr>
        <w:t xml:space="preserve"> </w:t>
      </w:r>
    </w:p>
    <w:p w14:paraId="072C4BB0" w14:textId="77777777" w:rsidR="006479B4" w:rsidRPr="004830DF" w:rsidRDefault="006479B4" w:rsidP="004830DF">
      <w:pPr>
        <w:pStyle w:val="NormalWeb"/>
        <w:spacing w:before="0" w:beforeAutospacing="0" w:after="0" w:afterAutospacing="0"/>
        <w:rPr>
          <w:rFonts w:asciiTheme="minorHAnsi" w:hAnsiTheme="minorHAnsi"/>
          <w:color w:val="000000"/>
          <w:sz w:val="22"/>
          <w:szCs w:val="22"/>
        </w:rPr>
      </w:pPr>
    </w:p>
    <w:p w14:paraId="496046A6" w14:textId="09976764" w:rsidR="006479B4" w:rsidRPr="004830DF" w:rsidRDefault="006479B4" w:rsidP="004830DF">
      <w:pPr>
        <w:pStyle w:val="NormalWeb"/>
        <w:spacing w:before="0" w:beforeAutospacing="0" w:after="0" w:afterAutospacing="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lastRenderedPageBreak/>
        <w:t xml:space="preserve">Rationale: </w:t>
      </w:r>
      <w:r w:rsidR="008D07E5" w:rsidRPr="004830DF">
        <w:rPr>
          <w:rFonts w:asciiTheme="minorHAnsi" w:eastAsia="Calibri" w:hAnsiTheme="minorHAnsi" w:cs="Calibri"/>
          <w:color w:val="000000"/>
          <w:sz w:val="22"/>
          <w:szCs w:val="22"/>
        </w:rPr>
        <w:t xml:space="preserve">Research is a vital component of teaching and learning advancement. In this context, research includes both faculty engaging in the scholarship of teaching and learning and faculty who mentor students (both undergraduate and graduate) engaging in research. The former advances knowledge of teaching and learning, </w:t>
      </w:r>
      <w:r w:rsidR="00FE7E72" w:rsidRPr="004830DF">
        <w:rPr>
          <w:rFonts w:asciiTheme="minorHAnsi" w:eastAsia="Calibri" w:hAnsiTheme="minorHAnsi" w:cs="Calibri"/>
          <w:color w:val="000000"/>
          <w:sz w:val="22"/>
          <w:szCs w:val="22"/>
        </w:rPr>
        <w:t xml:space="preserve">whereas </w:t>
      </w:r>
      <w:r w:rsidR="008D07E5" w:rsidRPr="004830DF">
        <w:rPr>
          <w:rFonts w:asciiTheme="minorHAnsi" w:eastAsia="Calibri" w:hAnsiTheme="minorHAnsi" w:cs="Calibri"/>
          <w:color w:val="000000"/>
          <w:sz w:val="22"/>
          <w:szCs w:val="22"/>
        </w:rPr>
        <w:t>the latter specifically contributes to transformative experiences for our students. Both require university support.</w:t>
      </w:r>
      <w:r w:rsidR="00AE1E87" w:rsidRPr="004830DF">
        <w:rPr>
          <w:rFonts w:asciiTheme="minorHAnsi" w:eastAsia="Calibri" w:hAnsiTheme="minorHAnsi" w:cs="Calibri"/>
          <w:color w:val="000000"/>
          <w:sz w:val="22"/>
          <w:szCs w:val="22"/>
        </w:rPr>
        <w:t xml:space="preserve"> The purpose of this action step is not to erode discipline-specific research but to ensure </w:t>
      </w:r>
      <w:proofErr w:type="spellStart"/>
      <w:r w:rsidR="00AE1E87" w:rsidRPr="004830DF">
        <w:rPr>
          <w:rFonts w:asciiTheme="minorHAnsi" w:eastAsia="Calibri" w:hAnsiTheme="minorHAnsi" w:cs="Calibri"/>
          <w:color w:val="000000"/>
          <w:sz w:val="22"/>
          <w:szCs w:val="22"/>
        </w:rPr>
        <w:t>SoTL</w:t>
      </w:r>
      <w:proofErr w:type="spellEnd"/>
      <w:r w:rsidR="00AE1E87" w:rsidRPr="004830DF">
        <w:rPr>
          <w:rFonts w:asciiTheme="minorHAnsi" w:eastAsia="Calibri" w:hAnsiTheme="minorHAnsi" w:cs="Calibri"/>
          <w:color w:val="000000"/>
          <w:sz w:val="22"/>
          <w:szCs w:val="22"/>
        </w:rPr>
        <w:t xml:space="preserve"> has parity to it.</w:t>
      </w:r>
    </w:p>
    <w:p w14:paraId="0D83327D" w14:textId="77777777" w:rsidR="00370B9B" w:rsidRPr="004830DF" w:rsidRDefault="00370B9B" w:rsidP="004830DF">
      <w:pPr>
        <w:pStyle w:val="NormalWeb"/>
        <w:spacing w:before="0" w:beforeAutospacing="0" w:after="0" w:afterAutospacing="0"/>
        <w:rPr>
          <w:rFonts w:asciiTheme="minorHAnsi" w:hAnsiTheme="minorHAnsi"/>
          <w:color w:val="000000"/>
          <w:sz w:val="22"/>
          <w:szCs w:val="22"/>
        </w:rPr>
      </w:pPr>
    </w:p>
    <w:p w14:paraId="7D349343" w14:textId="0ECF3924" w:rsidR="00370B9B" w:rsidRPr="004830DF" w:rsidRDefault="00370B9B" w:rsidP="004830DF">
      <w:pPr>
        <w:pStyle w:val="NormalWeb"/>
        <w:spacing w:before="0" w:beforeAutospacing="0" w:after="0" w:afterAutospacing="0"/>
        <w:ind w:left="72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Action Step #1:</w:t>
      </w:r>
      <w:r w:rsidRPr="004830DF">
        <w:rPr>
          <w:rFonts w:asciiTheme="minorHAnsi" w:eastAsia="Calibri" w:hAnsiTheme="minorHAnsi" w:cs="Calibri"/>
          <w:color w:val="000000"/>
          <w:sz w:val="22"/>
          <w:szCs w:val="22"/>
        </w:rPr>
        <w:t xml:space="preserve"> </w:t>
      </w:r>
      <w:r w:rsidR="008D07E5" w:rsidRPr="004830DF">
        <w:rPr>
          <w:rFonts w:asciiTheme="minorHAnsi" w:eastAsia="Calibri" w:hAnsiTheme="minorHAnsi" w:cs="Calibri"/>
          <w:color w:val="000000"/>
          <w:sz w:val="22"/>
          <w:szCs w:val="22"/>
        </w:rPr>
        <w:t>Support faculty currently engaged in or interested in pursuing the scholarship of teaching and learning.</w:t>
      </w:r>
      <w:r w:rsidR="008D07E5" w:rsidRPr="004830DF">
        <w:rPr>
          <w:rStyle w:val="FootnoteReference"/>
          <w:rFonts w:asciiTheme="minorHAnsi" w:eastAsia="Calibri" w:hAnsiTheme="minorHAnsi" w:cs="Calibri"/>
          <w:color w:val="000000"/>
          <w:sz w:val="22"/>
          <w:szCs w:val="22"/>
        </w:rPr>
        <w:footnoteReference w:id="4"/>
      </w:r>
    </w:p>
    <w:p w14:paraId="650277D6" w14:textId="77777777" w:rsidR="00347519" w:rsidRPr="004830DF" w:rsidRDefault="00347519" w:rsidP="004830DF">
      <w:pPr>
        <w:pStyle w:val="NormalWeb"/>
        <w:spacing w:before="0" w:beforeAutospacing="0" w:after="0" w:afterAutospacing="0"/>
        <w:ind w:left="720"/>
        <w:rPr>
          <w:rFonts w:asciiTheme="minorHAnsi" w:hAnsiTheme="minorHAnsi"/>
          <w:color w:val="000000"/>
          <w:sz w:val="22"/>
          <w:szCs w:val="22"/>
        </w:rPr>
      </w:pPr>
    </w:p>
    <w:p w14:paraId="2ABC2862" w14:textId="30CFDA81" w:rsidR="00AB15C9" w:rsidRPr="004830DF" w:rsidRDefault="00347519" w:rsidP="004830DF">
      <w:pPr>
        <w:pStyle w:val="NormalWeb"/>
        <w:spacing w:before="0" w:beforeAutospacing="0" w:after="0" w:afterAutospacing="0"/>
        <w:ind w:left="72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Purpose:</w:t>
      </w:r>
      <w:r w:rsidR="00476A3A" w:rsidRPr="004830DF">
        <w:rPr>
          <w:rFonts w:asciiTheme="minorHAnsi" w:eastAsia="Calibri" w:hAnsiTheme="minorHAnsi" w:cs="Calibri"/>
          <w:color w:val="000000"/>
          <w:sz w:val="22"/>
          <w:szCs w:val="22"/>
        </w:rPr>
        <w:t xml:space="preserve"> </w:t>
      </w:r>
      <w:r w:rsidR="002D6EFE" w:rsidRPr="004830DF">
        <w:rPr>
          <w:rFonts w:asciiTheme="minorHAnsi" w:eastAsia="Calibri" w:hAnsiTheme="minorHAnsi" w:cs="Calibri"/>
          <w:color w:val="000000"/>
          <w:sz w:val="22"/>
          <w:szCs w:val="22"/>
        </w:rPr>
        <w:t xml:space="preserve">To encourage continued and new growth in the scholarship of teaching and learning, various </w:t>
      </w:r>
      <w:r w:rsidR="00E72A6D" w:rsidRPr="004830DF">
        <w:rPr>
          <w:rFonts w:asciiTheme="minorHAnsi" w:eastAsia="Calibri" w:hAnsiTheme="minorHAnsi" w:cs="Calibri"/>
          <w:color w:val="000000"/>
          <w:sz w:val="22"/>
          <w:szCs w:val="22"/>
        </w:rPr>
        <w:t xml:space="preserve">types and </w:t>
      </w:r>
      <w:r w:rsidR="002D6EFE" w:rsidRPr="004830DF">
        <w:rPr>
          <w:rFonts w:asciiTheme="minorHAnsi" w:eastAsia="Calibri" w:hAnsiTheme="minorHAnsi" w:cs="Calibri"/>
          <w:color w:val="000000"/>
          <w:sz w:val="22"/>
          <w:szCs w:val="22"/>
        </w:rPr>
        <w:t>levels of support must be provided.</w:t>
      </w:r>
    </w:p>
    <w:p w14:paraId="0F65F0B3" w14:textId="77777777" w:rsidR="00347519" w:rsidRPr="004830DF" w:rsidRDefault="00347519" w:rsidP="004830DF">
      <w:pPr>
        <w:pStyle w:val="NormalWeb"/>
        <w:spacing w:before="0" w:beforeAutospacing="0" w:after="0" w:afterAutospacing="0"/>
        <w:ind w:left="720"/>
        <w:rPr>
          <w:rFonts w:asciiTheme="minorHAnsi" w:hAnsiTheme="minorHAnsi"/>
          <w:color w:val="000000"/>
          <w:sz w:val="22"/>
          <w:szCs w:val="22"/>
        </w:rPr>
      </w:pPr>
    </w:p>
    <w:p w14:paraId="54CFC63D" w14:textId="20F12465" w:rsidR="00A91B5E" w:rsidRPr="004830DF" w:rsidRDefault="00351A1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#1:</w:t>
      </w:r>
      <w:r w:rsidRPr="004830DF">
        <w:rPr>
          <w:rFonts w:asciiTheme="minorHAnsi" w:eastAsia="Calibri" w:hAnsiTheme="minorHAnsi" w:cs="Calibri"/>
          <w:color w:val="000000"/>
          <w:sz w:val="22"/>
          <w:szCs w:val="22"/>
        </w:rPr>
        <w:t xml:space="preserve"> </w:t>
      </w:r>
      <w:r w:rsidR="00420A31" w:rsidRPr="004830DF">
        <w:rPr>
          <w:rFonts w:asciiTheme="minorHAnsi" w:eastAsia="Calibri" w:hAnsiTheme="minorHAnsi" w:cs="Calibri"/>
          <w:color w:val="000000"/>
          <w:sz w:val="22"/>
          <w:szCs w:val="22"/>
        </w:rPr>
        <w:t xml:space="preserve">Create a professional development series to provide faculty with information about what constitutes effective </w:t>
      </w:r>
      <w:proofErr w:type="spellStart"/>
      <w:r w:rsidR="00420A31" w:rsidRPr="004830DF">
        <w:rPr>
          <w:rFonts w:asciiTheme="minorHAnsi" w:eastAsia="Calibri" w:hAnsiTheme="minorHAnsi" w:cs="Calibri"/>
          <w:color w:val="000000"/>
          <w:sz w:val="22"/>
          <w:szCs w:val="22"/>
        </w:rPr>
        <w:t>SoTL</w:t>
      </w:r>
      <w:proofErr w:type="spellEnd"/>
      <w:r w:rsidR="00420A31" w:rsidRPr="004830DF">
        <w:rPr>
          <w:rFonts w:asciiTheme="minorHAnsi" w:eastAsia="Calibri" w:hAnsiTheme="minorHAnsi" w:cs="Calibri"/>
          <w:color w:val="000000"/>
          <w:sz w:val="22"/>
          <w:szCs w:val="22"/>
        </w:rPr>
        <w:t xml:space="preserve"> and how to engage in </w:t>
      </w:r>
      <w:proofErr w:type="spellStart"/>
      <w:r w:rsidR="00420A31" w:rsidRPr="004830DF">
        <w:rPr>
          <w:rFonts w:asciiTheme="minorHAnsi" w:eastAsia="Calibri" w:hAnsiTheme="minorHAnsi" w:cs="Calibri"/>
          <w:color w:val="000000"/>
          <w:sz w:val="22"/>
          <w:szCs w:val="22"/>
        </w:rPr>
        <w:t>SoTL</w:t>
      </w:r>
      <w:proofErr w:type="spellEnd"/>
      <w:r w:rsidR="00420A31" w:rsidRPr="004830DF">
        <w:rPr>
          <w:rFonts w:asciiTheme="minorHAnsi" w:eastAsia="Calibri" w:hAnsiTheme="minorHAnsi" w:cs="Calibri"/>
          <w:color w:val="000000"/>
          <w:sz w:val="22"/>
          <w:szCs w:val="22"/>
        </w:rPr>
        <w:t xml:space="preserve"> research.</w:t>
      </w:r>
    </w:p>
    <w:p w14:paraId="44C2B799" w14:textId="77777777" w:rsidR="005504DC" w:rsidRPr="004830DF" w:rsidRDefault="005504DC" w:rsidP="004830DF">
      <w:pPr>
        <w:pStyle w:val="NormalWeb"/>
        <w:spacing w:before="0" w:beforeAutospacing="0" w:after="0" w:afterAutospacing="0"/>
        <w:ind w:left="1440"/>
        <w:rPr>
          <w:rFonts w:asciiTheme="minorHAnsi" w:hAnsiTheme="minorHAnsi"/>
          <w:color w:val="000000"/>
          <w:sz w:val="22"/>
          <w:szCs w:val="22"/>
        </w:rPr>
      </w:pPr>
    </w:p>
    <w:p w14:paraId="7D0A53E0" w14:textId="6277FB40" w:rsidR="005504DC" w:rsidRPr="004830DF" w:rsidRDefault="005504DC"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r w:rsidR="00FE7E72" w:rsidRPr="004830DF">
        <w:rPr>
          <w:rFonts w:asciiTheme="minorHAnsi" w:eastAsia="Calibri" w:hAnsiTheme="minorHAnsi" w:cs="Calibri"/>
          <w:color w:val="000000"/>
          <w:sz w:val="22"/>
          <w:szCs w:val="22"/>
        </w:rPr>
        <w:t xml:space="preserve">Whereas </w:t>
      </w:r>
      <w:r w:rsidR="00420A31" w:rsidRPr="004830DF">
        <w:rPr>
          <w:rFonts w:asciiTheme="minorHAnsi" w:eastAsia="Calibri" w:hAnsiTheme="minorHAnsi" w:cs="Calibri"/>
          <w:color w:val="000000"/>
          <w:sz w:val="22"/>
          <w:szCs w:val="22"/>
        </w:rPr>
        <w:t xml:space="preserve">all faculty have subject-specific expertise, </w:t>
      </w:r>
      <w:r w:rsidR="00E72A6D" w:rsidRPr="004830DF">
        <w:rPr>
          <w:rFonts w:asciiTheme="minorHAnsi" w:eastAsia="Calibri" w:hAnsiTheme="minorHAnsi" w:cs="Calibri"/>
          <w:color w:val="000000"/>
          <w:sz w:val="22"/>
          <w:szCs w:val="22"/>
        </w:rPr>
        <w:t xml:space="preserve">some </w:t>
      </w:r>
      <w:r w:rsidR="00420A31" w:rsidRPr="004830DF">
        <w:rPr>
          <w:rFonts w:asciiTheme="minorHAnsi" w:eastAsia="Calibri" w:hAnsiTheme="minorHAnsi" w:cs="Calibri"/>
          <w:color w:val="000000"/>
          <w:sz w:val="22"/>
          <w:szCs w:val="22"/>
        </w:rPr>
        <w:t xml:space="preserve">faculty </w:t>
      </w:r>
      <w:r w:rsidR="00E72A6D" w:rsidRPr="004830DF">
        <w:rPr>
          <w:rFonts w:asciiTheme="minorHAnsi" w:eastAsia="Calibri" w:hAnsiTheme="minorHAnsi" w:cs="Calibri"/>
          <w:color w:val="000000"/>
          <w:sz w:val="22"/>
          <w:szCs w:val="22"/>
        </w:rPr>
        <w:t>have little knowledge of</w:t>
      </w:r>
      <w:r w:rsidR="00420A31" w:rsidRPr="004830DF">
        <w:rPr>
          <w:rFonts w:asciiTheme="minorHAnsi" w:eastAsia="Calibri" w:hAnsiTheme="minorHAnsi" w:cs="Calibri"/>
          <w:color w:val="000000"/>
          <w:sz w:val="22"/>
          <w:szCs w:val="22"/>
        </w:rPr>
        <w:t xml:space="preserve"> the scholarship of teaching and learning. This series would provide an overview of </w:t>
      </w:r>
      <w:proofErr w:type="spellStart"/>
      <w:r w:rsidR="00420A31" w:rsidRPr="004830DF">
        <w:rPr>
          <w:rFonts w:asciiTheme="minorHAnsi" w:eastAsia="Calibri" w:hAnsiTheme="minorHAnsi" w:cs="Calibri"/>
          <w:color w:val="000000"/>
          <w:sz w:val="22"/>
          <w:szCs w:val="22"/>
        </w:rPr>
        <w:t>SoTL</w:t>
      </w:r>
      <w:proofErr w:type="spellEnd"/>
      <w:r w:rsidR="00420A31" w:rsidRPr="004830DF">
        <w:rPr>
          <w:rFonts w:asciiTheme="minorHAnsi" w:eastAsia="Calibri" w:hAnsiTheme="minorHAnsi" w:cs="Calibri"/>
          <w:color w:val="000000"/>
          <w:sz w:val="22"/>
          <w:szCs w:val="22"/>
        </w:rPr>
        <w:t xml:space="preserve"> and showcase ways to engage in a variety of </w:t>
      </w:r>
      <w:proofErr w:type="spellStart"/>
      <w:r w:rsidR="00420A31" w:rsidRPr="004830DF">
        <w:rPr>
          <w:rFonts w:asciiTheme="minorHAnsi" w:eastAsia="Calibri" w:hAnsiTheme="minorHAnsi" w:cs="Calibri"/>
          <w:color w:val="000000"/>
          <w:sz w:val="22"/>
          <w:szCs w:val="22"/>
        </w:rPr>
        <w:t>SoTL</w:t>
      </w:r>
      <w:proofErr w:type="spellEnd"/>
      <w:r w:rsidR="00420A31" w:rsidRPr="004830DF">
        <w:rPr>
          <w:rFonts w:asciiTheme="minorHAnsi" w:eastAsia="Calibri" w:hAnsiTheme="minorHAnsi" w:cs="Calibri"/>
          <w:color w:val="000000"/>
          <w:sz w:val="22"/>
          <w:szCs w:val="22"/>
        </w:rPr>
        <w:t xml:space="preserve"> research.</w:t>
      </w:r>
    </w:p>
    <w:p w14:paraId="02FFE759" w14:textId="77777777" w:rsidR="005504DC" w:rsidRPr="004830DF" w:rsidRDefault="005504DC" w:rsidP="004830DF">
      <w:pPr>
        <w:pStyle w:val="NormalWeb"/>
        <w:spacing w:before="0" w:beforeAutospacing="0" w:after="0" w:afterAutospacing="0"/>
        <w:ind w:left="1440"/>
        <w:rPr>
          <w:rFonts w:asciiTheme="minorHAnsi" w:hAnsiTheme="minorHAnsi"/>
          <w:color w:val="000000"/>
          <w:sz w:val="22"/>
          <w:szCs w:val="22"/>
        </w:rPr>
      </w:pPr>
    </w:p>
    <w:p w14:paraId="2E5B0299" w14:textId="72CAC9A4" w:rsidR="005504DC" w:rsidRPr="004830DF" w:rsidRDefault="005504DC"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00420A31" w:rsidRPr="004830DF">
        <w:rPr>
          <w:rFonts w:asciiTheme="minorHAnsi" w:eastAsia="Calibri" w:hAnsiTheme="minorHAnsi" w:cs="Calibri"/>
          <w:color w:val="000000"/>
          <w:sz w:val="22"/>
          <w:szCs w:val="22"/>
        </w:rPr>
        <w:t>Team to develop curriculum for this series</w:t>
      </w:r>
      <w:r w:rsidR="00FE7E72" w:rsidRPr="004830DF">
        <w:rPr>
          <w:rFonts w:asciiTheme="minorHAnsi" w:eastAsia="Calibri" w:hAnsiTheme="minorHAnsi" w:cs="Calibri"/>
          <w:color w:val="000000"/>
          <w:sz w:val="22"/>
          <w:szCs w:val="22"/>
        </w:rPr>
        <w:t xml:space="preserve">, individual/team to lead the workshops, </w:t>
      </w:r>
      <w:r w:rsidR="00420A31" w:rsidRPr="004830DF">
        <w:rPr>
          <w:rFonts w:asciiTheme="minorHAnsi" w:eastAsia="Calibri" w:hAnsiTheme="minorHAnsi" w:cs="Calibri"/>
          <w:color w:val="000000"/>
          <w:sz w:val="22"/>
          <w:szCs w:val="22"/>
        </w:rPr>
        <w:t>possible compensation for</w:t>
      </w:r>
      <w:r w:rsidR="00FE7E72" w:rsidRPr="004830DF">
        <w:rPr>
          <w:rFonts w:asciiTheme="minorHAnsi" w:eastAsia="Calibri" w:hAnsiTheme="minorHAnsi" w:cs="Calibri"/>
          <w:color w:val="000000"/>
          <w:sz w:val="22"/>
          <w:szCs w:val="22"/>
        </w:rPr>
        <w:t xml:space="preserve"> team members</w:t>
      </w:r>
      <w:r w:rsidR="00420A31" w:rsidRPr="004830DF">
        <w:rPr>
          <w:rFonts w:asciiTheme="minorHAnsi" w:eastAsia="Calibri" w:hAnsiTheme="minorHAnsi" w:cs="Calibri"/>
          <w:color w:val="000000"/>
          <w:sz w:val="22"/>
          <w:szCs w:val="22"/>
        </w:rPr>
        <w:t>.</w:t>
      </w:r>
    </w:p>
    <w:p w14:paraId="1F031E3F" w14:textId="77777777" w:rsidR="005504DC" w:rsidRPr="004830DF" w:rsidRDefault="005504DC" w:rsidP="004830DF">
      <w:pPr>
        <w:pStyle w:val="NormalWeb"/>
        <w:spacing w:before="0" w:beforeAutospacing="0" w:after="0" w:afterAutospacing="0"/>
        <w:ind w:left="1440"/>
        <w:rPr>
          <w:rFonts w:asciiTheme="minorHAnsi" w:hAnsiTheme="minorHAnsi"/>
          <w:color w:val="000000"/>
          <w:sz w:val="22"/>
          <w:szCs w:val="22"/>
        </w:rPr>
      </w:pPr>
    </w:p>
    <w:p w14:paraId="55AC1A79" w14:textId="0AA966DE" w:rsidR="005504DC" w:rsidRPr="004830DF" w:rsidRDefault="005504DC"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00420A31" w:rsidRPr="004830DF">
        <w:rPr>
          <w:rFonts w:asciiTheme="minorHAnsi" w:eastAsia="Calibri" w:hAnsiTheme="minorHAnsi" w:cs="Calibri"/>
          <w:color w:val="000000"/>
          <w:sz w:val="22"/>
          <w:szCs w:val="22"/>
        </w:rPr>
        <w:t>Develop curriculum in summer 2017.</w:t>
      </w:r>
    </w:p>
    <w:p w14:paraId="631380D4" w14:textId="77777777" w:rsidR="005504DC" w:rsidRPr="004830DF" w:rsidRDefault="005504DC" w:rsidP="004830DF">
      <w:pPr>
        <w:pStyle w:val="NormalWeb"/>
        <w:spacing w:before="0" w:beforeAutospacing="0" w:after="0" w:afterAutospacing="0"/>
        <w:ind w:left="1440"/>
        <w:rPr>
          <w:rFonts w:asciiTheme="minorHAnsi" w:hAnsiTheme="minorHAnsi"/>
          <w:color w:val="000000"/>
          <w:sz w:val="22"/>
          <w:szCs w:val="22"/>
        </w:rPr>
      </w:pPr>
    </w:p>
    <w:p w14:paraId="7E4220E0" w14:textId="1FDC1689" w:rsidR="005504DC" w:rsidRPr="004830DF" w:rsidRDefault="005504DC"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w:t>
      </w:r>
      <w:r w:rsidR="00420A31" w:rsidRPr="004830DF">
        <w:rPr>
          <w:rFonts w:asciiTheme="minorHAnsi" w:eastAsia="Calibri" w:hAnsiTheme="minorHAnsi" w:cs="Calibri"/>
          <w:color w:val="000000"/>
          <w:sz w:val="22"/>
          <w:szCs w:val="22"/>
        </w:rPr>
        <w:t xml:space="preserve">Deliver </w:t>
      </w:r>
      <w:proofErr w:type="spellStart"/>
      <w:r w:rsidR="00420A31" w:rsidRPr="004830DF">
        <w:rPr>
          <w:rFonts w:asciiTheme="minorHAnsi" w:eastAsia="Calibri" w:hAnsiTheme="minorHAnsi" w:cs="Calibri"/>
          <w:color w:val="000000"/>
          <w:sz w:val="22"/>
          <w:szCs w:val="22"/>
        </w:rPr>
        <w:t>SoTL</w:t>
      </w:r>
      <w:proofErr w:type="spellEnd"/>
      <w:r w:rsidR="00420A31" w:rsidRPr="004830DF">
        <w:rPr>
          <w:rFonts w:asciiTheme="minorHAnsi" w:eastAsia="Calibri" w:hAnsiTheme="minorHAnsi" w:cs="Calibri"/>
          <w:color w:val="000000"/>
          <w:sz w:val="22"/>
          <w:szCs w:val="22"/>
        </w:rPr>
        <w:t xml:space="preserve"> series in fall 2017 or spring 2018. </w:t>
      </w:r>
    </w:p>
    <w:p w14:paraId="4DC2102C" w14:textId="77777777" w:rsidR="005504DC" w:rsidRPr="004830DF" w:rsidRDefault="005504DC" w:rsidP="004830DF">
      <w:pPr>
        <w:pStyle w:val="NormalWeb"/>
        <w:spacing w:before="0" w:beforeAutospacing="0" w:after="0" w:afterAutospacing="0"/>
        <w:ind w:left="1440"/>
        <w:rPr>
          <w:rFonts w:asciiTheme="minorHAnsi" w:hAnsiTheme="minorHAnsi"/>
          <w:color w:val="000000"/>
          <w:sz w:val="22"/>
          <w:szCs w:val="22"/>
        </w:rPr>
      </w:pPr>
    </w:p>
    <w:p w14:paraId="28F33649" w14:textId="6C6C7029" w:rsidR="005504DC" w:rsidRPr="004830DF" w:rsidRDefault="005504DC"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w:t>
      </w:r>
      <w:r w:rsidR="00420A31" w:rsidRPr="004830DF">
        <w:rPr>
          <w:rFonts w:asciiTheme="minorHAnsi" w:eastAsia="Calibri" w:hAnsiTheme="minorHAnsi" w:cs="Calibri"/>
          <w:color w:val="000000"/>
          <w:sz w:val="22"/>
          <w:szCs w:val="22"/>
        </w:rPr>
        <w:t>Center for Teaching &amp; Learning (to coordinate curricular development and delivery of series)</w:t>
      </w:r>
      <w:r w:rsidR="00FE7E72" w:rsidRPr="004830DF">
        <w:rPr>
          <w:rFonts w:asciiTheme="minorHAnsi" w:eastAsia="Calibri" w:hAnsiTheme="minorHAnsi" w:cs="Calibri"/>
          <w:color w:val="000000"/>
          <w:sz w:val="22"/>
          <w:szCs w:val="22"/>
        </w:rPr>
        <w:t>, home departments of faculty and staff who develop/deliver the series.</w:t>
      </w:r>
    </w:p>
    <w:p w14:paraId="14AC3D30" w14:textId="77777777" w:rsidR="00420A31" w:rsidRPr="004830DF" w:rsidRDefault="00420A31" w:rsidP="004830DF">
      <w:pPr>
        <w:pStyle w:val="NormalWeb"/>
        <w:spacing w:before="0" w:beforeAutospacing="0" w:after="0" w:afterAutospacing="0"/>
        <w:ind w:left="1440"/>
        <w:rPr>
          <w:rFonts w:asciiTheme="minorHAnsi" w:hAnsiTheme="minorHAnsi"/>
          <w:color w:val="000000"/>
          <w:sz w:val="22"/>
          <w:szCs w:val="22"/>
        </w:rPr>
      </w:pPr>
    </w:p>
    <w:p w14:paraId="2EB417BB" w14:textId="1C184CC4" w:rsidR="00420A31"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#2:</w:t>
      </w:r>
      <w:r w:rsidRPr="004830DF">
        <w:rPr>
          <w:rFonts w:asciiTheme="minorHAnsi" w:eastAsia="Calibri" w:hAnsiTheme="minorHAnsi" w:cs="Calibri"/>
          <w:color w:val="000000"/>
          <w:sz w:val="22"/>
          <w:szCs w:val="22"/>
        </w:rPr>
        <w:t xml:space="preserve"> Employ faculty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consultant</w:t>
      </w:r>
      <w:r w:rsidR="00FE7E72" w:rsidRPr="004830DF">
        <w:rPr>
          <w:rFonts w:asciiTheme="minorHAnsi" w:eastAsia="Calibri" w:hAnsiTheme="minorHAnsi" w:cs="Calibri"/>
          <w:color w:val="000000"/>
          <w:sz w:val="22"/>
          <w:szCs w:val="22"/>
        </w:rPr>
        <w:t>s</w:t>
      </w:r>
      <w:r w:rsidRPr="004830DF">
        <w:rPr>
          <w:rFonts w:asciiTheme="minorHAnsi" w:eastAsia="Calibri" w:hAnsiTheme="minorHAnsi" w:cs="Calibri"/>
          <w:color w:val="000000"/>
          <w:sz w:val="22"/>
          <w:szCs w:val="22"/>
        </w:rPr>
        <w:t xml:space="preserve"> in the Center for Teaching &amp; Learning.</w:t>
      </w:r>
    </w:p>
    <w:p w14:paraId="6053B236" w14:textId="77777777" w:rsidR="00420A31" w:rsidRPr="004830DF" w:rsidRDefault="00420A31" w:rsidP="004830DF">
      <w:pPr>
        <w:pStyle w:val="NormalWeb"/>
        <w:spacing w:before="0" w:beforeAutospacing="0" w:after="0" w:afterAutospacing="0"/>
        <w:ind w:left="1440"/>
        <w:rPr>
          <w:rFonts w:asciiTheme="minorHAnsi" w:hAnsiTheme="minorHAnsi"/>
          <w:color w:val="000000"/>
          <w:sz w:val="22"/>
          <w:szCs w:val="22"/>
        </w:rPr>
      </w:pPr>
    </w:p>
    <w:p w14:paraId="49BFF0BC" w14:textId="48D082EC" w:rsidR="00420A31"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lastRenderedPageBreak/>
        <w:t xml:space="preserve">Explanation: The purpose of </w:t>
      </w:r>
      <w:r w:rsidR="00FE7E72" w:rsidRPr="004830DF">
        <w:rPr>
          <w:rFonts w:asciiTheme="minorHAnsi" w:eastAsia="Calibri" w:hAnsiTheme="minorHAnsi" w:cs="Calibri"/>
          <w:color w:val="000000"/>
          <w:sz w:val="22"/>
          <w:szCs w:val="22"/>
        </w:rPr>
        <w:t xml:space="preserve">these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consultant</w:t>
      </w:r>
      <w:r w:rsidR="00FE7E72" w:rsidRPr="004830DF">
        <w:rPr>
          <w:rFonts w:asciiTheme="minorHAnsi" w:eastAsia="Calibri" w:hAnsiTheme="minorHAnsi" w:cs="Calibri"/>
          <w:color w:val="000000"/>
          <w:sz w:val="22"/>
          <w:szCs w:val="22"/>
        </w:rPr>
        <w:t>s</w:t>
      </w:r>
      <w:r w:rsidRPr="004830DF">
        <w:rPr>
          <w:rFonts w:asciiTheme="minorHAnsi" w:eastAsia="Calibri" w:hAnsiTheme="minorHAnsi" w:cs="Calibri"/>
          <w:color w:val="000000"/>
          <w:sz w:val="22"/>
          <w:szCs w:val="22"/>
        </w:rPr>
        <w:t xml:space="preserve"> will be to increase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awareness by delivering or coordinating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-related workshops and working with individual faculty on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-related projects.</w:t>
      </w:r>
      <w:r w:rsidR="00FE7E72" w:rsidRPr="004830DF">
        <w:rPr>
          <w:rFonts w:asciiTheme="minorHAnsi" w:eastAsia="Calibri" w:hAnsiTheme="minorHAnsi" w:cs="Calibri"/>
          <w:color w:val="000000"/>
          <w:sz w:val="22"/>
          <w:szCs w:val="22"/>
        </w:rPr>
        <w:t xml:space="preserve"> Given that </w:t>
      </w:r>
      <w:proofErr w:type="spellStart"/>
      <w:r w:rsidR="00FE7E72" w:rsidRPr="004830DF">
        <w:rPr>
          <w:rFonts w:asciiTheme="minorHAnsi" w:eastAsia="Calibri" w:hAnsiTheme="minorHAnsi" w:cs="Calibri"/>
          <w:color w:val="000000"/>
          <w:sz w:val="22"/>
          <w:szCs w:val="22"/>
        </w:rPr>
        <w:t>SoTL</w:t>
      </w:r>
      <w:proofErr w:type="spellEnd"/>
      <w:r w:rsidR="00FE7E72" w:rsidRPr="004830DF">
        <w:rPr>
          <w:rFonts w:asciiTheme="minorHAnsi" w:eastAsia="Calibri" w:hAnsiTheme="minorHAnsi" w:cs="Calibri"/>
          <w:color w:val="000000"/>
          <w:sz w:val="22"/>
          <w:szCs w:val="22"/>
        </w:rPr>
        <w:t xml:space="preserve"> varies by discipline, there is need for multiple consultants.</w:t>
      </w:r>
    </w:p>
    <w:p w14:paraId="1BC7A88A" w14:textId="77777777" w:rsidR="00420A31" w:rsidRPr="004830DF" w:rsidRDefault="00420A31" w:rsidP="004830DF">
      <w:pPr>
        <w:pStyle w:val="NormalWeb"/>
        <w:spacing w:before="0" w:beforeAutospacing="0" w:after="0" w:afterAutospacing="0"/>
        <w:ind w:left="1440"/>
        <w:rPr>
          <w:rFonts w:asciiTheme="minorHAnsi" w:hAnsiTheme="minorHAnsi"/>
          <w:color w:val="000000"/>
          <w:sz w:val="22"/>
          <w:szCs w:val="22"/>
        </w:rPr>
      </w:pPr>
    </w:p>
    <w:p w14:paraId="7C948106" w14:textId="1FDD4D13" w:rsidR="00420A31"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00834F4A" w:rsidRPr="004830DF">
        <w:rPr>
          <w:rFonts w:asciiTheme="minorHAnsi" w:eastAsia="Calibri" w:hAnsiTheme="minorHAnsi" w:cs="Calibri"/>
          <w:color w:val="000000"/>
          <w:sz w:val="22"/>
          <w:szCs w:val="22"/>
        </w:rPr>
        <w:t>R</w:t>
      </w:r>
      <w:r w:rsidRPr="004830DF">
        <w:rPr>
          <w:rFonts w:asciiTheme="minorHAnsi" w:eastAsia="Calibri" w:hAnsiTheme="minorHAnsi" w:cs="Calibri"/>
          <w:color w:val="000000"/>
          <w:sz w:val="22"/>
          <w:szCs w:val="22"/>
        </w:rPr>
        <w:t xml:space="preserve">elease time for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consultant</w:t>
      </w:r>
      <w:r w:rsidR="00834F4A" w:rsidRPr="004830DF">
        <w:rPr>
          <w:rFonts w:asciiTheme="minorHAnsi" w:eastAsia="Calibri" w:hAnsiTheme="minorHAnsi" w:cs="Calibri"/>
          <w:color w:val="000000"/>
          <w:sz w:val="22"/>
          <w:szCs w:val="22"/>
        </w:rPr>
        <w:t xml:space="preserve"> (initially, </w:t>
      </w:r>
      <w:r w:rsidR="00AE1E87" w:rsidRPr="004830DF">
        <w:rPr>
          <w:rFonts w:asciiTheme="minorHAnsi" w:eastAsia="Calibri" w:hAnsiTheme="minorHAnsi" w:cs="Calibri"/>
          <w:color w:val="000000"/>
          <w:sz w:val="22"/>
          <w:szCs w:val="22"/>
        </w:rPr>
        <w:t>.25 FTE</w:t>
      </w:r>
      <w:r w:rsidR="00834F4A" w:rsidRPr="004830DF">
        <w:rPr>
          <w:rFonts w:asciiTheme="minorHAnsi" w:eastAsia="Calibri" w:hAnsiTheme="minorHAnsi" w:cs="Calibri"/>
          <w:color w:val="000000"/>
          <w:sz w:val="22"/>
          <w:szCs w:val="22"/>
        </w:rPr>
        <w:t>)</w:t>
      </w:r>
      <w:r w:rsidRPr="004830DF">
        <w:rPr>
          <w:rFonts w:asciiTheme="minorHAnsi" w:eastAsia="Calibri" w:hAnsiTheme="minorHAnsi" w:cs="Calibri"/>
          <w:color w:val="000000"/>
          <w:sz w:val="22"/>
          <w:szCs w:val="22"/>
        </w:rPr>
        <w:t>.</w:t>
      </w:r>
    </w:p>
    <w:p w14:paraId="6DA57976" w14:textId="77777777" w:rsidR="00420A31" w:rsidRPr="004830DF" w:rsidRDefault="00420A31" w:rsidP="004830DF">
      <w:pPr>
        <w:pStyle w:val="NormalWeb"/>
        <w:spacing w:before="0" w:beforeAutospacing="0" w:after="0" w:afterAutospacing="0"/>
        <w:ind w:left="1440"/>
        <w:rPr>
          <w:rFonts w:asciiTheme="minorHAnsi" w:hAnsiTheme="minorHAnsi"/>
          <w:color w:val="000000"/>
          <w:sz w:val="22"/>
          <w:szCs w:val="22"/>
        </w:rPr>
      </w:pPr>
    </w:p>
    <w:p w14:paraId="0B843776" w14:textId="3A001953" w:rsidR="00420A31"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Select </w:t>
      </w:r>
      <w:r w:rsidR="00FE7E72" w:rsidRPr="004830DF">
        <w:rPr>
          <w:rFonts w:asciiTheme="minorHAnsi" w:eastAsia="Calibri" w:hAnsiTheme="minorHAnsi" w:cs="Calibri"/>
          <w:color w:val="000000"/>
          <w:sz w:val="22"/>
          <w:szCs w:val="22"/>
        </w:rPr>
        <w:t xml:space="preserve">first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consultant in late spring 2017.</w:t>
      </w:r>
    </w:p>
    <w:p w14:paraId="25CC9388" w14:textId="77777777" w:rsidR="00420A31" w:rsidRPr="004830DF" w:rsidRDefault="00420A31" w:rsidP="004830DF">
      <w:pPr>
        <w:pStyle w:val="NormalWeb"/>
        <w:spacing w:before="0" w:beforeAutospacing="0" w:after="0" w:afterAutospacing="0"/>
        <w:ind w:left="1440"/>
        <w:rPr>
          <w:rFonts w:asciiTheme="minorHAnsi" w:hAnsiTheme="minorHAnsi"/>
          <w:color w:val="000000"/>
          <w:sz w:val="22"/>
          <w:szCs w:val="22"/>
        </w:rPr>
      </w:pPr>
    </w:p>
    <w:p w14:paraId="451D1E92" w14:textId="52B609AC" w:rsidR="00420A31"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w:t>
      </w:r>
      <w:r w:rsidR="00725604" w:rsidRPr="004830DF">
        <w:rPr>
          <w:rFonts w:asciiTheme="minorHAnsi" w:eastAsia="Calibri" w:hAnsiTheme="minorHAnsi" w:cs="Calibri"/>
          <w:color w:val="000000"/>
          <w:sz w:val="22"/>
          <w:szCs w:val="22"/>
        </w:rPr>
        <w:t xml:space="preserve">In 2018, review </w:t>
      </w:r>
      <w:proofErr w:type="spellStart"/>
      <w:r w:rsidR="00C62449" w:rsidRPr="004830DF">
        <w:rPr>
          <w:rFonts w:asciiTheme="minorHAnsi" w:eastAsia="Calibri" w:hAnsiTheme="minorHAnsi" w:cs="Calibri"/>
          <w:color w:val="000000"/>
          <w:sz w:val="22"/>
          <w:szCs w:val="22"/>
        </w:rPr>
        <w:t>SoTL</w:t>
      </w:r>
      <w:proofErr w:type="spellEnd"/>
      <w:r w:rsidR="00C62449" w:rsidRPr="004830DF">
        <w:rPr>
          <w:rFonts w:asciiTheme="minorHAnsi" w:eastAsia="Calibri" w:hAnsiTheme="minorHAnsi" w:cs="Calibri"/>
          <w:color w:val="000000"/>
          <w:sz w:val="22"/>
          <w:szCs w:val="22"/>
        </w:rPr>
        <w:t xml:space="preserve"> consultant</w:t>
      </w:r>
      <w:r w:rsidR="00725604" w:rsidRPr="004830DF">
        <w:rPr>
          <w:rFonts w:asciiTheme="minorHAnsi" w:eastAsia="Calibri" w:hAnsiTheme="minorHAnsi" w:cs="Calibri"/>
          <w:color w:val="000000"/>
          <w:sz w:val="22"/>
          <w:szCs w:val="22"/>
        </w:rPr>
        <w:t>’s</w:t>
      </w:r>
      <w:r w:rsidR="00C62449" w:rsidRPr="004830DF">
        <w:rPr>
          <w:rFonts w:asciiTheme="minorHAnsi" w:eastAsia="Calibri" w:hAnsiTheme="minorHAnsi" w:cs="Calibri"/>
          <w:color w:val="000000"/>
          <w:sz w:val="22"/>
          <w:szCs w:val="22"/>
        </w:rPr>
        <w:t xml:space="preserve"> contributions </w:t>
      </w:r>
      <w:r w:rsidR="00725604" w:rsidRPr="004830DF">
        <w:rPr>
          <w:rFonts w:asciiTheme="minorHAnsi" w:eastAsia="Calibri" w:hAnsiTheme="minorHAnsi" w:cs="Calibri"/>
          <w:color w:val="000000"/>
          <w:sz w:val="22"/>
          <w:szCs w:val="22"/>
        </w:rPr>
        <w:t>and appoint one or more additional consultants.</w:t>
      </w:r>
    </w:p>
    <w:p w14:paraId="096A631C" w14:textId="77777777" w:rsidR="00C62449" w:rsidRPr="004830DF" w:rsidRDefault="00C62449" w:rsidP="004830DF">
      <w:pPr>
        <w:pStyle w:val="NormalWeb"/>
        <w:spacing w:before="0" w:beforeAutospacing="0" w:after="0" w:afterAutospacing="0"/>
        <w:ind w:left="1440"/>
        <w:rPr>
          <w:rFonts w:asciiTheme="minorHAnsi" w:hAnsiTheme="minorHAnsi"/>
          <w:color w:val="000000"/>
          <w:sz w:val="22"/>
          <w:szCs w:val="22"/>
        </w:rPr>
      </w:pPr>
    </w:p>
    <w:p w14:paraId="40F3A64F" w14:textId="09BFE75E" w:rsidR="00C62449" w:rsidRPr="004830DF" w:rsidRDefault="00C6244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Impacted Departments: Center for Teaching &amp; Learning</w:t>
      </w:r>
      <w:r w:rsidR="00DB628B" w:rsidRPr="004830DF">
        <w:rPr>
          <w:rFonts w:asciiTheme="minorHAnsi" w:eastAsia="Calibri" w:hAnsiTheme="minorHAnsi" w:cs="Calibri"/>
          <w:color w:val="000000"/>
          <w:sz w:val="22"/>
          <w:szCs w:val="22"/>
        </w:rPr>
        <w:t xml:space="preserve"> (CTL)</w:t>
      </w:r>
      <w:r w:rsidRPr="004830DF">
        <w:rPr>
          <w:rFonts w:asciiTheme="minorHAnsi" w:eastAsia="Calibri" w:hAnsiTheme="minorHAnsi" w:cs="Calibri"/>
          <w:color w:val="000000"/>
          <w:sz w:val="22"/>
          <w:szCs w:val="22"/>
        </w:rPr>
        <w:t>, home department</w:t>
      </w:r>
      <w:r w:rsidR="00725604" w:rsidRPr="004830DF">
        <w:rPr>
          <w:rFonts w:asciiTheme="minorHAnsi" w:eastAsia="Calibri" w:hAnsiTheme="minorHAnsi" w:cs="Calibri"/>
          <w:color w:val="000000"/>
          <w:sz w:val="22"/>
          <w:szCs w:val="22"/>
        </w:rPr>
        <w:t>s</w:t>
      </w:r>
      <w:r w:rsidRPr="004830DF">
        <w:rPr>
          <w:rFonts w:asciiTheme="minorHAnsi" w:eastAsia="Calibri" w:hAnsiTheme="minorHAnsi" w:cs="Calibri"/>
          <w:color w:val="000000"/>
          <w:sz w:val="22"/>
          <w:szCs w:val="22"/>
        </w:rPr>
        <w:t xml:space="preserve"> of selected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consultant</w:t>
      </w:r>
      <w:r w:rsidR="00834F4A" w:rsidRPr="004830DF">
        <w:rPr>
          <w:rFonts w:asciiTheme="minorHAnsi" w:eastAsia="Calibri" w:hAnsiTheme="minorHAnsi" w:cs="Calibri"/>
          <w:color w:val="000000"/>
          <w:sz w:val="22"/>
          <w:szCs w:val="22"/>
        </w:rPr>
        <w:t>s</w:t>
      </w:r>
      <w:r w:rsidRPr="004830DF">
        <w:rPr>
          <w:rFonts w:asciiTheme="minorHAnsi" w:eastAsia="Calibri" w:hAnsiTheme="minorHAnsi" w:cs="Calibri"/>
          <w:color w:val="000000"/>
          <w:sz w:val="22"/>
          <w:szCs w:val="22"/>
        </w:rPr>
        <w:t>.</w:t>
      </w:r>
    </w:p>
    <w:p w14:paraId="7AD80607" w14:textId="77777777" w:rsidR="00782401" w:rsidRPr="004830DF" w:rsidRDefault="00782401" w:rsidP="004830DF">
      <w:pPr>
        <w:pStyle w:val="NormalWeb"/>
        <w:spacing w:before="0" w:beforeAutospacing="0" w:after="0" w:afterAutospacing="0"/>
        <w:ind w:left="1440"/>
        <w:rPr>
          <w:rFonts w:asciiTheme="minorHAnsi" w:hAnsiTheme="minorHAnsi"/>
          <w:color w:val="000000"/>
          <w:sz w:val="22"/>
          <w:szCs w:val="22"/>
        </w:rPr>
      </w:pPr>
    </w:p>
    <w:p w14:paraId="66573DEB" w14:textId="7283A720" w:rsidR="00834F4A"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4B20C7" w:rsidRPr="004830DF">
        <w:rPr>
          <w:rFonts w:asciiTheme="minorHAnsi" w:eastAsia="Calibri" w:hAnsiTheme="minorHAnsi" w:cs="Calibri"/>
          <w:b/>
          <w:bCs/>
          <w:color w:val="000000"/>
          <w:sz w:val="22"/>
          <w:szCs w:val="22"/>
          <w:u w:val="single"/>
        </w:rPr>
        <w:t>3</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Train graduate assistants</w:t>
      </w:r>
      <w:r w:rsidR="00AE1E87" w:rsidRPr="004830DF">
        <w:rPr>
          <w:rFonts w:asciiTheme="minorHAnsi" w:eastAsia="Calibri" w:hAnsiTheme="minorHAnsi" w:cs="Calibri"/>
          <w:color w:val="000000"/>
          <w:sz w:val="22"/>
          <w:szCs w:val="22"/>
        </w:rPr>
        <w:t xml:space="preserve"> (GAs)</w:t>
      </w:r>
      <w:r w:rsidRPr="004830DF">
        <w:rPr>
          <w:rFonts w:asciiTheme="minorHAnsi" w:eastAsia="Calibri" w:hAnsiTheme="minorHAnsi" w:cs="Calibri"/>
          <w:color w:val="000000"/>
          <w:sz w:val="22"/>
          <w:szCs w:val="22"/>
        </w:rPr>
        <w:t xml:space="preserve"> to help faculty interested in doing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research. These could be GAs who assist with research design, statistical analysis, etc.</w:t>
      </w:r>
    </w:p>
    <w:p w14:paraId="6508EABC"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22221147" w14:textId="3FAF763A"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Given the demands on faculty time, GA support for faculty engaging in the scholarship of teaching and learning would be helpful. These GAs could aid in </w:t>
      </w:r>
      <w:r w:rsidR="00AE1E87" w:rsidRPr="004830DF">
        <w:rPr>
          <w:rFonts w:asciiTheme="minorHAnsi" w:eastAsia="Calibri" w:hAnsiTheme="minorHAnsi" w:cs="Calibri"/>
          <w:color w:val="000000"/>
          <w:sz w:val="22"/>
          <w:szCs w:val="22"/>
        </w:rPr>
        <w:t xml:space="preserve">data collection, </w:t>
      </w:r>
      <w:r w:rsidRPr="004830DF">
        <w:rPr>
          <w:rFonts w:asciiTheme="minorHAnsi" w:eastAsia="Calibri" w:hAnsiTheme="minorHAnsi" w:cs="Calibri"/>
          <w:color w:val="000000"/>
          <w:sz w:val="22"/>
          <w:szCs w:val="22"/>
        </w:rPr>
        <w:t xml:space="preserve">statistical analysis, literature reviews, etc. Ideally, these students should complete the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professional development series described in </w:t>
      </w:r>
      <w:r w:rsidR="00AE1E87" w:rsidRPr="004830DF">
        <w:rPr>
          <w:rFonts w:asciiTheme="minorHAnsi" w:eastAsia="Calibri" w:hAnsiTheme="minorHAnsi" w:cs="Calibri"/>
          <w:color w:val="000000"/>
          <w:sz w:val="22"/>
          <w:szCs w:val="22"/>
        </w:rPr>
        <w:t xml:space="preserve">Action Step #1, </w:t>
      </w:r>
      <w:r w:rsidRPr="004830DF">
        <w:rPr>
          <w:rFonts w:asciiTheme="minorHAnsi" w:eastAsia="Calibri" w:hAnsiTheme="minorHAnsi" w:cs="Calibri"/>
          <w:color w:val="000000"/>
          <w:sz w:val="22"/>
          <w:szCs w:val="22"/>
        </w:rPr>
        <w:t>Task #1 and have a background in research methods.</w:t>
      </w:r>
    </w:p>
    <w:p w14:paraId="113A3E05"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0269F506" w14:textId="7F92B064"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To begin, at least one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GA.</w:t>
      </w:r>
    </w:p>
    <w:p w14:paraId="605D13FE"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6DD4ED82" w14:textId="26951069"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Obtain one </w:t>
      </w:r>
      <w:proofErr w:type="spellStart"/>
      <w:r w:rsidRPr="004830DF">
        <w:rPr>
          <w:rFonts w:asciiTheme="minorHAnsi" w:eastAsia="Calibri" w:hAnsiTheme="minorHAnsi" w:cs="Calibri"/>
          <w:color w:val="000000"/>
          <w:sz w:val="22"/>
          <w:szCs w:val="22"/>
        </w:rPr>
        <w:t>GAship</w:t>
      </w:r>
      <w:proofErr w:type="spellEnd"/>
      <w:r w:rsidRPr="004830DF">
        <w:rPr>
          <w:rFonts w:asciiTheme="minorHAnsi" w:eastAsia="Calibri" w:hAnsiTheme="minorHAnsi" w:cs="Calibri"/>
          <w:color w:val="000000"/>
          <w:sz w:val="22"/>
          <w:szCs w:val="22"/>
        </w:rPr>
        <w:t xml:space="preserve"> by fall 2017 or spring 2018.</w:t>
      </w:r>
    </w:p>
    <w:p w14:paraId="0830EA49"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7ABC7C38" w14:textId="77842922" w:rsidR="00420A31"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Enough </w:t>
      </w:r>
      <w:proofErr w:type="spellStart"/>
      <w:r w:rsidRPr="004830DF">
        <w:rPr>
          <w:rFonts w:asciiTheme="minorHAnsi" w:eastAsia="Calibri" w:hAnsiTheme="minorHAnsi" w:cs="Calibri"/>
          <w:color w:val="000000"/>
          <w:sz w:val="22"/>
          <w:szCs w:val="22"/>
        </w:rPr>
        <w:t>GAships</w:t>
      </w:r>
      <w:proofErr w:type="spellEnd"/>
      <w:r w:rsidRPr="004830DF">
        <w:rPr>
          <w:rFonts w:asciiTheme="minorHAnsi" w:eastAsia="Calibri" w:hAnsiTheme="minorHAnsi" w:cs="Calibri"/>
          <w:color w:val="000000"/>
          <w:sz w:val="22"/>
          <w:szCs w:val="22"/>
        </w:rPr>
        <w:t xml:space="preserve"> to provide adequate support for faculty engaging in </w:t>
      </w:r>
      <w:proofErr w:type="spellStart"/>
      <w:r w:rsidRPr="004830DF">
        <w:rPr>
          <w:rFonts w:asciiTheme="minorHAnsi" w:eastAsia="Calibri" w:hAnsiTheme="minorHAnsi" w:cs="Calibri"/>
          <w:color w:val="000000"/>
          <w:sz w:val="22"/>
          <w:szCs w:val="22"/>
        </w:rPr>
        <w:t>SoTL</w:t>
      </w:r>
      <w:proofErr w:type="spellEnd"/>
      <w:r w:rsidRPr="004830DF">
        <w:rPr>
          <w:rFonts w:asciiTheme="minorHAnsi" w:eastAsia="Calibri" w:hAnsiTheme="minorHAnsi" w:cs="Calibri"/>
          <w:color w:val="000000"/>
          <w:sz w:val="22"/>
          <w:szCs w:val="22"/>
        </w:rPr>
        <w:t xml:space="preserve"> research.</w:t>
      </w:r>
    </w:p>
    <w:p w14:paraId="242A162F"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7DA1D832" w14:textId="6ADD8D0B"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Impacted Departments: Graduate School</w:t>
      </w:r>
    </w:p>
    <w:p w14:paraId="26B43734" w14:textId="77777777" w:rsidR="00C62449" w:rsidRPr="004830DF" w:rsidRDefault="00C62449" w:rsidP="004830DF">
      <w:pPr>
        <w:pStyle w:val="NormalWeb"/>
        <w:spacing w:before="0" w:beforeAutospacing="0" w:after="0" w:afterAutospacing="0"/>
        <w:ind w:left="1440"/>
        <w:rPr>
          <w:rFonts w:asciiTheme="minorHAnsi" w:hAnsiTheme="minorHAnsi"/>
          <w:color w:val="000000"/>
          <w:sz w:val="22"/>
          <w:szCs w:val="22"/>
        </w:rPr>
      </w:pPr>
    </w:p>
    <w:p w14:paraId="242AFD42" w14:textId="3997B191" w:rsidR="00834F4A" w:rsidRPr="004830DF" w:rsidRDefault="00C6244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4B20C7" w:rsidRPr="004830DF">
        <w:rPr>
          <w:rFonts w:asciiTheme="minorHAnsi" w:eastAsia="Calibri" w:hAnsiTheme="minorHAnsi" w:cs="Calibri"/>
          <w:b/>
          <w:bCs/>
          <w:color w:val="000000"/>
          <w:sz w:val="22"/>
          <w:szCs w:val="22"/>
          <w:u w:val="single"/>
        </w:rPr>
        <w:t>4</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Provide appropriate recognition </w:t>
      </w:r>
      <w:r w:rsidR="00B57863" w:rsidRPr="004830DF">
        <w:rPr>
          <w:rFonts w:asciiTheme="minorHAnsi" w:eastAsia="Calibri" w:hAnsiTheme="minorHAnsi" w:cs="Calibri"/>
          <w:color w:val="000000"/>
          <w:sz w:val="22"/>
          <w:szCs w:val="22"/>
        </w:rPr>
        <w:t xml:space="preserve">of </w:t>
      </w:r>
      <w:r w:rsidRPr="004830DF">
        <w:rPr>
          <w:rFonts w:asciiTheme="minorHAnsi" w:eastAsia="Calibri" w:hAnsiTheme="minorHAnsi" w:cs="Calibri"/>
          <w:color w:val="000000"/>
          <w:sz w:val="22"/>
          <w:szCs w:val="22"/>
        </w:rPr>
        <w:t xml:space="preserve">those faculty engaging </w:t>
      </w:r>
      <w:r w:rsidR="00782401" w:rsidRPr="004830DF">
        <w:rPr>
          <w:rFonts w:asciiTheme="minorHAnsi" w:eastAsia="Calibri" w:hAnsiTheme="minorHAnsi" w:cs="Calibri"/>
          <w:color w:val="000000"/>
          <w:sz w:val="22"/>
          <w:szCs w:val="22"/>
        </w:rPr>
        <w:t>in the scholarship of teaching and learning.</w:t>
      </w:r>
    </w:p>
    <w:p w14:paraId="32A2AFAD"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263A4874" w14:textId="4838BC78"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proofErr w:type="spellStart"/>
      <w:r w:rsidR="00CB08B7" w:rsidRPr="004830DF">
        <w:rPr>
          <w:rFonts w:asciiTheme="minorHAnsi" w:eastAsia="Calibri" w:hAnsiTheme="minorHAnsi" w:cs="Calibri"/>
          <w:color w:val="000000"/>
          <w:sz w:val="22"/>
          <w:szCs w:val="22"/>
        </w:rPr>
        <w:t>SoTL</w:t>
      </w:r>
      <w:proofErr w:type="spellEnd"/>
      <w:r w:rsidR="00CB08B7" w:rsidRPr="004830DF">
        <w:rPr>
          <w:rFonts w:asciiTheme="minorHAnsi" w:eastAsia="Calibri" w:hAnsiTheme="minorHAnsi" w:cs="Calibri"/>
          <w:color w:val="000000"/>
          <w:sz w:val="22"/>
          <w:szCs w:val="22"/>
        </w:rPr>
        <w:t xml:space="preserve"> is </w:t>
      </w:r>
      <w:r w:rsidR="00F72E69" w:rsidRPr="004830DF">
        <w:rPr>
          <w:rFonts w:asciiTheme="minorHAnsi" w:eastAsia="Calibri" w:hAnsiTheme="minorHAnsi" w:cs="Calibri"/>
          <w:color w:val="000000"/>
          <w:sz w:val="22"/>
          <w:szCs w:val="22"/>
        </w:rPr>
        <w:t>an important area of research across disciplines.</w:t>
      </w:r>
      <w:r w:rsidR="00CB08B7" w:rsidRPr="004830DF">
        <w:rPr>
          <w:rFonts w:asciiTheme="minorHAnsi" w:eastAsia="Calibri" w:hAnsiTheme="minorHAnsi" w:cs="Calibri"/>
          <w:color w:val="000000"/>
          <w:sz w:val="22"/>
          <w:szCs w:val="22"/>
        </w:rPr>
        <w:t xml:space="preserve"> Thus, </w:t>
      </w:r>
      <w:r w:rsidR="00F72E69" w:rsidRPr="004830DF">
        <w:rPr>
          <w:rFonts w:asciiTheme="minorHAnsi" w:eastAsia="Calibri" w:hAnsiTheme="minorHAnsi" w:cs="Calibri"/>
          <w:color w:val="000000"/>
          <w:sz w:val="22"/>
          <w:szCs w:val="22"/>
        </w:rPr>
        <w:t xml:space="preserve">the university </w:t>
      </w:r>
      <w:r w:rsidR="00CB08B7" w:rsidRPr="004830DF">
        <w:rPr>
          <w:rFonts w:asciiTheme="minorHAnsi" w:eastAsia="Calibri" w:hAnsiTheme="minorHAnsi" w:cs="Calibri"/>
          <w:color w:val="000000"/>
          <w:sz w:val="22"/>
          <w:szCs w:val="22"/>
        </w:rPr>
        <w:t>must recognize</w:t>
      </w:r>
      <w:r w:rsidR="00F72E69" w:rsidRPr="004830DF">
        <w:rPr>
          <w:rFonts w:asciiTheme="minorHAnsi" w:eastAsia="Calibri" w:hAnsiTheme="minorHAnsi" w:cs="Calibri"/>
          <w:color w:val="000000"/>
          <w:sz w:val="22"/>
          <w:szCs w:val="22"/>
        </w:rPr>
        <w:t xml:space="preserve"> </w:t>
      </w:r>
      <w:proofErr w:type="spellStart"/>
      <w:r w:rsidR="00F72E69" w:rsidRPr="004830DF">
        <w:rPr>
          <w:rFonts w:asciiTheme="minorHAnsi" w:eastAsia="Calibri" w:hAnsiTheme="minorHAnsi" w:cs="Calibri"/>
          <w:color w:val="000000"/>
          <w:sz w:val="22"/>
          <w:szCs w:val="22"/>
        </w:rPr>
        <w:t>SoTL</w:t>
      </w:r>
      <w:proofErr w:type="spellEnd"/>
      <w:r w:rsidR="00F72E69" w:rsidRPr="004830DF">
        <w:rPr>
          <w:rFonts w:asciiTheme="minorHAnsi" w:eastAsia="Calibri" w:hAnsiTheme="minorHAnsi" w:cs="Calibri"/>
          <w:color w:val="000000"/>
          <w:sz w:val="22"/>
          <w:szCs w:val="22"/>
        </w:rPr>
        <w:t xml:space="preserve"> research</w:t>
      </w:r>
      <w:r w:rsidR="00CB08B7" w:rsidRPr="004830DF">
        <w:rPr>
          <w:rFonts w:asciiTheme="minorHAnsi" w:eastAsia="Calibri" w:hAnsiTheme="minorHAnsi" w:cs="Calibri"/>
          <w:color w:val="000000"/>
          <w:sz w:val="22"/>
          <w:szCs w:val="22"/>
        </w:rPr>
        <w:t xml:space="preserve"> </w:t>
      </w:r>
      <w:r w:rsidR="00F72E69" w:rsidRPr="004830DF">
        <w:rPr>
          <w:rFonts w:asciiTheme="minorHAnsi" w:eastAsia="Calibri" w:hAnsiTheme="minorHAnsi" w:cs="Calibri"/>
          <w:color w:val="000000"/>
          <w:sz w:val="22"/>
          <w:szCs w:val="22"/>
        </w:rPr>
        <w:t>accomplishments</w:t>
      </w:r>
      <w:r w:rsidR="00CB08B7" w:rsidRPr="004830DF">
        <w:rPr>
          <w:rFonts w:asciiTheme="minorHAnsi" w:eastAsia="Calibri" w:hAnsiTheme="minorHAnsi" w:cs="Calibri"/>
          <w:color w:val="000000"/>
          <w:sz w:val="22"/>
          <w:szCs w:val="22"/>
        </w:rPr>
        <w:t xml:space="preserve"> in </w:t>
      </w:r>
      <w:r w:rsidR="00F72E69" w:rsidRPr="004830DF">
        <w:rPr>
          <w:rFonts w:asciiTheme="minorHAnsi" w:eastAsia="Calibri" w:hAnsiTheme="minorHAnsi" w:cs="Calibri"/>
          <w:color w:val="000000"/>
          <w:sz w:val="22"/>
          <w:szCs w:val="22"/>
        </w:rPr>
        <w:t>similar</w:t>
      </w:r>
      <w:r w:rsidR="00CB08B7" w:rsidRPr="004830DF">
        <w:rPr>
          <w:rFonts w:asciiTheme="minorHAnsi" w:eastAsia="Calibri" w:hAnsiTheme="minorHAnsi" w:cs="Calibri"/>
          <w:color w:val="000000"/>
          <w:sz w:val="22"/>
          <w:szCs w:val="22"/>
        </w:rPr>
        <w:t xml:space="preserve"> ways to discipline-specific research</w:t>
      </w:r>
      <w:r w:rsidR="00F72E69" w:rsidRPr="004830DF">
        <w:rPr>
          <w:rFonts w:asciiTheme="minorHAnsi" w:eastAsia="Calibri" w:hAnsiTheme="minorHAnsi" w:cs="Calibri"/>
          <w:color w:val="000000"/>
          <w:sz w:val="22"/>
          <w:szCs w:val="22"/>
        </w:rPr>
        <w:t xml:space="preserve"> accomplishments</w:t>
      </w:r>
      <w:r w:rsidR="00CB08B7" w:rsidRPr="004830DF">
        <w:rPr>
          <w:rFonts w:asciiTheme="minorHAnsi" w:eastAsia="Calibri" w:hAnsiTheme="minorHAnsi" w:cs="Calibri"/>
          <w:color w:val="000000"/>
          <w:sz w:val="22"/>
          <w:szCs w:val="22"/>
        </w:rPr>
        <w:t>.</w:t>
      </w:r>
      <w:r w:rsidR="001C549E" w:rsidRPr="004830DF">
        <w:rPr>
          <w:rFonts w:asciiTheme="minorHAnsi" w:eastAsia="Calibri" w:hAnsiTheme="minorHAnsi" w:cs="Calibri"/>
          <w:color w:val="000000"/>
          <w:sz w:val="22"/>
          <w:szCs w:val="22"/>
        </w:rPr>
        <w:t xml:space="preserve"> </w:t>
      </w:r>
      <w:r w:rsidR="00F72E69" w:rsidRPr="004830DF">
        <w:rPr>
          <w:rFonts w:asciiTheme="minorHAnsi" w:eastAsia="Calibri" w:hAnsiTheme="minorHAnsi" w:cs="Calibri"/>
          <w:color w:val="000000"/>
          <w:sz w:val="22"/>
          <w:szCs w:val="22"/>
        </w:rPr>
        <w:t>Recognition includes but is not limited to funding, awards, and tenure and promotion.</w:t>
      </w:r>
    </w:p>
    <w:p w14:paraId="34E8C536" w14:textId="77777777" w:rsidR="00834F4A" w:rsidRPr="004830DF" w:rsidRDefault="00834F4A" w:rsidP="004830DF">
      <w:pPr>
        <w:pStyle w:val="NormalWeb"/>
        <w:spacing w:before="0" w:beforeAutospacing="0" w:after="0" w:afterAutospacing="0"/>
        <w:rPr>
          <w:rFonts w:asciiTheme="minorHAnsi" w:hAnsiTheme="minorHAnsi"/>
          <w:color w:val="000000"/>
          <w:sz w:val="22"/>
          <w:szCs w:val="22"/>
        </w:rPr>
      </w:pPr>
    </w:p>
    <w:p w14:paraId="60E26D66" w14:textId="07F57FEF"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Resources Needed:</w:t>
      </w:r>
      <w:r w:rsidR="00132A79" w:rsidRPr="004830DF">
        <w:rPr>
          <w:rFonts w:asciiTheme="minorHAnsi" w:eastAsia="Calibri" w:hAnsiTheme="minorHAnsi" w:cs="Calibri"/>
          <w:color w:val="000000"/>
          <w:sz w:val="22"/>
          <w:szCs w:val="22"/>
        </w:rPr>
        <w:t xml:space="preserve"> </w:t>
      </w:r>
      <w:r w:rsidR="00525FAA" w:rsidRPr="004830DF">
        <w:rPr>
          <w:rFonts w:asciiTheme="minorHAnsi" w:eastAsia="Calibri" w:hAnsiTheme="minorHAnsi" w:cs="Calibri"/>
          <w:color w:val="000000"/>
          <w:sz w:val="22"/>
          <w:szCs w:val="22"/>
        </w:rPr>
        <w:t>Team to reassess criteria for awarding of relevant funding, awards, and tenure and promotion.</w:t>
      </w:r>
    </w:p>
    <w:p w14:paraId="34FE2076"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143026E9" w14:textId="444D69A3"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Immediate Targets:</w:t>
      </w:r>
      <w:r w:rsidR="00132A79" w:rsidRPr="004830DF">
        <w:rPr>
          <w:rFonts w:asciiTheme="minorHAnsi" w:eastAsia="Calibri" w:hAnsiTheme="minorHAnsi" w:cs="Calibri"/>
          <w:color w:val="000000"/>
          <w:sz w:val="22"/>
          <w:szCs w:val="22"/>
        </w:rPr>
        <w:t xml:space="preserve"> </w:t>
      </w:r>
      <w:r w:rsidR="00087B4B" w:rsidRPr="004830DF">
        <w:rPr>
          <w:rFonts w:asciiTheme="minorHAnsi" w:eastAsia="Calibri" w:hAnsiTheme="minorHAnsi" w:cs="Calibri"/>
          <w:color w:val="000000"/>
          <w:sz w:val="22"/>
          <w:szCs w:val="22"/>
        </w:rPr>
        <w:t>Develop recognition in 2017-2018 academic year, find funding for possible rewards (e.g. plaques, monetary award, etc.)</w:t>
      </w:r>
    </w:p>
    <w:p w14:paraId="4F23369C"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14F2EA46" w14:textId="3673DBF5" w:rsidR="00834F4A"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Long-Range Targets:</w:t>
      </w:r>
      <w:r w:rsidR="00525FAA" w:rsidRPr="004830DF">
        <w:rPr>
          <w:rFonts w:asciiTheme="minorHAnsi" w:eastAsia="Calibri" w:hAnsiTheme="minorHAnsi" w:cs="Calibri"/>
          <w:color w:val="000000"/>
          <w:sz w:val="22"/>
          <w:szCs w:val="22"/>
        </w:rPr>
        <w:t xml:space="preserve"> </w:t>
      </w:r>
      <w:r w:rsidR="00087B4B" w:rsidRPr="004830DF">
        <w:rPr>
          <w:rFonts w:asciiTheme="minorHAnsi" w:eastAsia="Calibri" w:hAnsiTheme="minorHAnsi" w:cs="Calibri"/>
          <w:color w:val="000000"/>
          <w:sz w:val="22"/>
          <w:szCs w:val="22"/>
        </w:rPr>
        <w:t>Give first award in 2018-2019 academic year.</w:t>
      </w:r>
    </w:p>
    <w:p w14:paraId="42464AD1" w14:textId="77777777" w:rsidR="00834F4A" w:rsidRPr="004830DF" w:rsidRDefault="00834F4A" w:rsidP="004830DF">
      <w:pPr>
        <w:pStyle w:val="NormalWeb"/>
        <w:spacing w:before="0" w:beforeAutospacing="0" w:after="0" w:afterAutospacing="0"/>
        <w:ind w:left="1440"/>
        <w:rPr>
          <w:rFonts w:asciiTheme="minorHAnsi" w:hAnsiTheme="minorHAnsi"/>
          <w:color w:val="000000"/>
          <w:sz w:val="22"/>
          <w:szCs w:val="22"/>
        </w:rPr>
      </w:pPr>
    </w:p>
    <w:p w14:paraId="6AB681D5" w14:textId="67E7F1EA" w:rsidR="00C62449" w:rsidRPr="004830DF" w:rsidRDefault="00834F4A"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Impacted Departments:</w:t>
      </w:r>
      <w:r w:rsidR="00132A79" w:rsidRPr="004830DF">
        <w:rPr>
          <w:rFonts w:asciiTheme="minorHAnsi" w:eastAsia="Calibri" w:hAnsiTheme="minorHAnsi" w:cs="Calibri"/>
          <w:color w:val="000000"/>
          <w:sz w:val="22"/>
          <w:szCs w:val="22"/>
        </w:rPr>
        <w:t xml:space="preserve"> Various</w:t>
      </w:r>
    </w:p>
    <w:p w14:paraId="41F4E960" w14:textId="77777777" w:rsidR="00431DBF" w:rsidRPr="004830DF" w:rsidRDefault="00431DBF" w:rsidP="004830DF">
      <w:pPr>
        <w:pStyle w:val="NormalWeb"/>
        <w:spacing w:before="0" w:beforeAutospacing="0" w:after="0" w:afterAutospacing="0"/>
        <w:ind w:left="720" w:firstLine="720"/>
        <w:rPr>
          <w:rFonts w:asciiTheme="minorHAnsi" w:hAnsiTheme="minorHAnsi"/>
          <w:color w:val="000000"/>
          <w:sz w:val="22"/>
          <w:szCs w:val="22"/>
        </w:rPr>
      </w:pPr>
    </w:p>
    <w:p w14:paraId="5B852F03" w14:textId="7DD5CEAC" w:rsidR="00C14F26" w:rsidRPr="004830DF" w:rsidRDefault="00B5786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4B20C7" w:rsidRPr="004830DF">
        <w:rPr>
          <w:rFonts w:asciiTheme="minorHAnsi" w:eastAsia="Calibri" w:hAnsiTheme="minorHAnsi" w:cs="Calibri"/>
          <w:b/>
          <w:bCs/>
          <w:color w:val="000000"/>
          <w:sz w:val="22"/>
          <w:szCs w:val="22"/>
          <w:u w:val="single"/>
        </w:rPr>
        <w:t>5</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w:t>
      </w:r>
      <w:r w:rsidR="00C14F26" w:rsidRPr="004830DF">
        <w:rPr>
          <w:rFonts w:asciiTheme="minorHAnsi" w:eastAsia="Calibri" w:hAnsiTheme="minorHAnsi" w:cs="Calibri"/>
          <w:color w:val="000000"/>
          <w:sz w:val="22"/>
          <w:szCs w:val="22"/>
        </w:rPr>
        <w:t xml:space="preserve">Provide appropriate </w:t>
      </w:r>
      <w:r w:rsidR="00D80A68" w:rsidRPr="004830DF">
        <w:rPr>
          <w:rFonts w:asciiTheme="minorHAnsi" w:eastAsia="Calibri" w:hAnsiTheme="minorHAnsi" w:cs="Calibri"/>
          <w:color w:val="000000"/>
          <w:sz w:val="22"/>
          <w:szCs w:val="22"/>
        </w:rPr>
        <w:t>funding resources</w:t>
      </w:r>
      <w:r w:rsidR="00C14F26" w:rsidRPr="004830DF">
        <w:rPr>
          <w:rFonts w:asciiTheme="minorHAnsi" w:eastAsia="Calibri" w:hAnsiTheme="minorHAnsi" w:cs="Calibri"/>
          <w:color w:val="000000"/>
          <w:sz w:val="22"/>
          <w:szCs w:val="22"/>
        </w:rPr>
        <w:t xml:space="preserve"> for those faculty engaging in the scholarship of teaching and learning.</w:t>
      </w:r>
    </w:p>
    <w:p w14:paraId="1D58128B" w14:textId="072554F0" w:rsidR="00005AF2" w:rsidRPr="004830DF" w:rsidRDefault="00005AF2" w:rsidP="004830DF">
      <w:pPr>
        <w:pStyle w:val="NormalWeb"/>
        <w:spacing w:before="0" w:beforeAutospacing="0" w:after="0" w:afterAutospacing="0"/>
        <w:rPr>
          <w:rFonts w:asciiTheme="minorHAnsi" w:hAnsiTheme="minorHAnsi"/>
          <w:color w:val="000000"/>
          <w:sz w:val="22"/>
          <w:szCs w:val="22"/>
        </w:rPr>
      </w:pPr>
    </w:p>
    <w:p w14:paraId="045087A4" w14:textId="24A35331" w:rsidR="00005AF2" w:rsidRPr="004830DF" w:rsidRDefault="00005AF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r w:rsidR="00525FAA" w:rsidRPr="004830DF">
        <w:rPr>
          <w:rFonts w:asciiTheme="minorHAnsi" w:eastAsia="Calibri" w:hAnsiTheme="minorHAnsi" w:cs="Calibri"/>
          <w:color w:val="000000"/>
          <w:sz w:val="22"/>
          <w:szCs w:val="22"/>
        </w:rPr>
        <w:t xml:space="preserve">As with discipline-specific research, the process of </w:t>
      </w:r>
      <w:proofErr w:type="spellStart"/>
      <w:r w:rsidR="00525FAA" w:rsidRPr="004830DF">
        <w:rPr>
          <w:rFonts w:asciiTheme="minorHAnsi" w:eastAsia="Calibri" w:hAnsiTheme="minorHAnsi" w:cs="Calibri"/>
          <w:color w:val="000000"/>
          <w:sz w:val="22"/>
          <w:szCs w:val="22"/>
        </w:rPr>
        <w:t>SoTL</w:t>
      </w:r>
      <w:proofErr w:type="spellEnd"/>
      <w:r w:rsidR="00525FAA" w:rsidRPr="004830DF">
        <w:rPr>
          <w:rFonts w:asciiTheme="minorHAnsi" w:eastAsia="Calibri" w:hAnsiTheme="minorHAnsi" w:cs="Calibri"/>
          <w:color w:val="000000"/>
          <w:sz w:val="22"/>
          <w:szCs w:val="22"/>
        </w:rPr>
        <w:t xml:space="preserve"> requires resources. This includes (but is not limited to) purchase of supplies, </w:t>
      </w:r>
      <w:r w:rsidR="00DB628B" w:rsidRPr="004830DF">
        <w:rPr>
          <w:rFonts w:asciiTheme="minorHAnsi" w:eastAsia="Calibri" w:hAnsiTheme="minorHAnsi" w:cs="Calibri"/>
          <w:color w:val="000000"/>
          <w:sz w:val="22"/>
          <w:szCs w:val="22"/>
        </w:rPr>
        <w:t>reassignment of time to allow</w:t>
      </w:r>
      <w:r w:rsidR="00525FAA" w:rsidRPr="004830DF">
        <w:rPr>
          <w:rFonts w:asciiTheme="minorHAnsi" w:eastAsia="Calibri" w:hAnsiTheme="minorHAnsi" w:cs="Calibri"/>
          <w:color w:val="000000"/>
          <w:sz w:val="22"/>
          <w:szCs w:val="22"/>
        </w:rPr>
        <w:t xml:space="preserve"> for writing and data analysis, hiring of graduate assistants, travel to present findings, etc.</w:t>
      </w:r>
    </w:p>
    <w:p w14:paraId="5316D535" w14:textId="77777777" w:rsidR="00005AF2" w:rsidRPr="004830DF" w:rsidRDefault="00005AF2" w:rsidP="004830DF">
      <w:pPr>
        <w:pStyle w:val="NormalWeb"/>
        <w:spacing w:before="0" w:beforeAutospacing="0" w:after="0" w:afterAutospacing="0"/>
        <w:ind w:left="1440"/>
        <w:rPr>
          <w:rFonts w:asciiTheme="minorHAnsi" w:hAnsiTheme="minorHAnsi"/>
          <w:color w:val="000000"/>
          <w:sz w:val="22"/>
          <w:szCs w:val="22"/>
        </w:rPr>
      </w:pPr>
    </w:p>
    <w:p w14:paraId="613D219A" w14:textId="79BE1234" w:rsidR="00005AF2" w:rsidRPr="004830DF" w:rsidRDefault="00005AF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00525FAA" w:rsidRPr="004830DF">
        <w:rPr>
          <w:rFonts w:asciiTheme="minorHAnsi" w:eastAsia="Calibri" w:hAnsiTheme="minorHAnsi" w:cs="Calibri"/>
          <w:color w:val="000000"/>
          <w:sz w:val="22"/>
          <w:szCs w:val="22"/>
        </w:rPr>
        <w:t>Funding, time.</w:t>
      </w:r>
    </w:p>
    <w:p w14:paraId="7B1EF14A" w14:textId="77777777" w:rsidR="00005AF2" w:rsidRPr="004830DF" w:rsidRDefault="00005AF2" w:rsidP="004830DF">
      <w:pPr>
        <w:pStyle w:val="NormalWeb"/>
        <w:spacing w:before="0" w:beforeAutospacing="0" w:after="0" w:afterAutospacing="0"/>
        <w:ind w:left="1440"/>
        <w:rPr>
          <w:rFonts w:asciiTheme="minorHAnsi" w:hAnsiTheme="minorHAnsi"/>
          <w:color w:val="000000"/>
          <w:sz w:val="22"/>
          <w:szCs w:val="22"/>
        </w:rPr>
      </w:pPr>
    </w:p>
    <w:p w14:paraId="1830270D" w14:textId="742CC084" w:rsidR="00005AF2" w:rsidRPr="004830DF" w:rsidRDefault="00005AF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00D80A68" w:rsidRPr="004830DF">
        <w:rPr>
          <w:rFonts w:asciiTheme="minorHAnsi" w:eastAsia="Calibri" w:hAnsiTheme="minorHAnsi" w:cs="Calibri"/>
          <w:color w:val="000000"/>
          <w:sz w:val="22"/>
          <w:szCs w:val="22"/>
        </w:rPr>
        <w:t xml:space="preserve">Place a faculty familiar with </w:t>
      </w:r>
      <w:proofErr w:type="spellStart"/>
      <w:r w:rsidR="00D80A68" w:rsidRPr="004830DF">
        <w:rPr>
          <w:rFonts w:asciiTheme="minorHAnsi" w:eastAsia="Calibri" w:hAnsiTheme="minorHAnsi" w:cs="Calibri"/>
          <w:color w:val="000000"/>
          <w:sz w:val="22"/>
          <w:szCs w:val="22"/>
        </w:rPr>
        <w:t>SoTL</w:t>
      </w:r>
      <w:proofErr w:type="spellEnd"/>
      <w:r w:rsidR="00D80A68" w:rsidRPr="004830DF">
        <w:rPr>
          <w:rFonts w:asciiTheme="minorHAnsi" w:eastAsia="Calibri" w:hAnsiTheme="minorHAnsi" w:cs="Calibri"/>
          <w:color w:val="000000"/>
          <w:sz w:val="22"/>
          <w:szCs w:val="22"/>
        </w:rPr>
        <w:t xml:space="preserve"> on the University Research Council </w:t>
      </w:r>
      <w:r w:rsidR="00525FAA" w:rsidRPr="004830DF">
        <w:rPr>
          <w:rFonts w:asciiTheme="minorHAnsi" w:eastAsia="Calibri" w:hAnsiTheme="minorHAnsi" w:cs="Calibri"/>
          <w:color w:val="000000"/>
          <w:sz w:val="22"/>
          <w:szCs w:val="22"/>
        </w:rPr>
        <w:t xml:space="preserve">by </w:t>
      </w:r>
      <w:proofErr w:type="gramStart"/>
      <w:r w:rsidR="00525FAA" w:rsidRPr="004830DF">
        <w:rPr>
          <w:rFonts w:asciiTheme="minorHAnsi" w:eastAsia="Calibri" w:hAnsiTheme="minorHAnsi" w:cs="Calibri"/>
          <w:color w:val="000000"/>
          <w:sz w:val="22"/>
          <w:szCs w:val="22"/>
        </w:rPr>
        <w:t>Fall</w:t>
      </w:r>
      <w:proofErr w:type="gramEnd"/>
      <w:r w:rsidR="00525FAA" w:rsidRPr="004830DF">
        <w:rPr>
          <w:rFonts w:asciiTheme="minorHAnsi" w:eastAsia="Calibri" w:hAnsiTheme="minorHAnsi" w:cs="Calibri"/>
          <w:color w:val="000000"/>
          <w:sz w:val="22"/>
          <w:szCs w:val="22"/>
        </w:rPr>
        <w:t xml:space="preserve"> 2017. Establish coordination between CTL and </w:t>
      </w:r>
      <w:r w:rsidR="00DB628B" w:rsidRPr="004830DF">
        <w:rPr>
          <w:rFonts w:asciiTheme="minorHAnsi" w:eastAsia="Calibri" w:hAnsiTheme="minorHAnsi" w:cs="Calibri"/>
          <w:color w:val="000000"/>
          <w:sz w:val="22"/>
          <w:szCs w:val="22"/>
        </w:rPr>
        <w:t>the Office of Research and Sponsored Programs (ORSP)</w:t>
      </w:r>
      <w:r w:rsidR="00525FAA" w:rsidRPr="004830DF">
        <w:rPr>
          <w:rFonts w:asciiTheme="minorHAnsi" w:eastAsia="Calibri" w:hAnsiTheme="minorHAnsi" w:cs="Calibri"/>
          <w:color w:val="000000"/>
          <w:sz w:val="22"/>
          <w:szCs w:val="22"/>
        </w:rPr>
        <w:t xml:space="preserve"> to ensure </w:t>
      </w:r>
      <w:proofErr w:type="spellStart"/>
      <w:r w:rsidR="00525FAA" w:rsidRPr="004830DF">
        <w:rPr>
          <w:rFonts w:asciiTheme="minorHAnsi" w:eastAsia="Calibri" w:hAnsiTheme="minorHAnsi" w:cs="Calibri"/>
          <w:color w:val="000000"/>
          <w:sz w:val="22"/>
          <w:szCs w:val="22"/>
        </w:rPr>
        <w:t>SoTL</w:t>
      </w:r>
      <w:proofErr w:type="spellEnd"/>
      <w:r w:rsidR="00525FAA" w:rsidRPr="004830DF">
        <w:rPr>
          <w:rFonts w:asciiTheme="minorHAnsi" w:eastAsia="Calibri" w:hAnsiTheme="minorHAnsi" w:cs="Calibri"/>
          <w:color w:val="000000"/>
          <w:sz w:val="22"/>
          <w:szCs w:val="22"/>
        </w:rPr>
        <w:t xml:space="preserve"> research projects receive equal consideration for mini-grants and other funding.</w:t>
      </w:r>
    </w:p>
    <w:p w14:paraId="4989082D" w14:textId="77777777" w:rsidR="00005AF2" w:rsidRPr="004830DF" w:rsidRDefault="00005AF2" w:rsidP="004830DF">
      <w:pPr>
        <w:pStyle w:val="NormalWeb"/>
        <w:spacing w:before="0" w:beforeAutospacing="0" w:after="0" w:afterAutospacing="0"/>
        <w:ind w:left="1440"/>
        <w:rPr>
          <w:rFonts w:asciiTheme="minorHAnsi" w:hAnsiTheme="minorHAnsi"/>
          <w:color w:val="000000"/>
          <w:sz w:val="22"/>
          <w:szCs w:val="22"/>
        </w:rPr>
      </w:pPr>
    </w:p>
    <w:p w14:paraId="2C457C20" w14:textId="59234BA0" w:rsidR="00005AF2" w:rsidRPr="004830DF" w:rsidRDefault="00005AF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Long-Range Targets:</w:t>
      </w:r>
      <w:r w:rsidR="00525FAA" w:rsidRPr="004830DF">
        <w:rPr>
          <w:rFonts w:asciiTheme="minorHAnsi" w:eastAsia="Calibri" w:hAnsiTheme="minorHAnsi" w:cs="Calibri"/>
          <w:color w:val="000000"/>
          <w:sz w:val="22"/>
          <w:szCs w:val="22"/>
        </w:rPr>
        <w:t xml:space="preserve"> Develop mini-grants within the Center for Teaching &amp; Learning to support </w:t>
      </w:r>
      <w:proofErr w:type="spellStart"/>
      <w:r w:rsidR="00525FAA" w:rsidRPr="004830DF">
        <w:rPr>
          <w:rFonts w:asciiTheme="minorHAnsi" w:eastAsia="Calibri" w:hAnsiTheme="minorHAnsi" w:cs="Calibri"/>
          <w:color w:val="000000"/>
          <w:sz w:val="22"/>
          <w:szCs w:val="22"/>
        </w:rPr>
        <w:t>SoTL</w:t>
      </w:r>
      <w:proofErr w:type="spellEnd"/>
      <w:r w:rsidR="00525FAA" w:rsidRPr="004830DF">
        <w:rPr>
          <w:rFonts w:asciiTheme="minorHAnsi" w:eastAsia="Calibri" w:hAnsiTheme="minorHAnsi" w:cs="Calibri"/>
          <w:color w:val="000000"/>
          <w:sz w:val="22"/>
          <w:szCs w:val="22"/>
        </w:rPr>
        <w:t xml:space="preserve"> research.</w:t>
      </w:r>
    </w:p>
    <w:p w14:paraId="20F9CBD8" w14:textId="77777777" w:rsidR="00005AF2" w:rsidRPr="004830DF" w:rsidRDefault="00005AF2" w:rsidP="004830DF">
      <w:pPr>
        <w:pStyle w:val="NormalWeb"/>
        <w:spacing w:before="0" w:beforeAutospacing="0" w:after="0" w:afterAutospacing="0"/>
        <w:ind w:left="1440"/>
        <w:rPr>
          <w:rFonts w:asciiTheme="minorHAnsi" w:hAnsiTheme="minorHAnsi"/>
          <w:color w:val="000000"/>
          <w:sz w:val="22"/>
          <w:szCs w:val="22"/>
        </w:rPr>
      </w:pPr>
    </w:p>
    <w:p w14:paraId="094F9D06" w14:textId="26DACFEF" w:rsidR="00005AF2" w:rsidRPr="004830DF" w:rsidRDefault="00005AF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w:t>
      </w:r>
      <w:r w:rsidR="00525FAA" w:rsidRPr="004830DF">
        <w:rPr>
          <w:rFonts w:asciiTheme="minorHAnsi" w:eastAsia="Calibri" w:hAnsiTheme="minorHAnsi" w:cs="Calibri"/>
          <w:color w:val="000000"/>
          <w:sz w:val="22"/>
          <w:szCs w:val="22"/>
        </w:rPr>
        <w:t>ORSP, CTL</w:t>
      </w:r>
    </w:p>
    <w:p w14:paraId="19A5F212" w14:textId="77777777" w:rsidR="00B57863" w:rsidRPr="004830DF" w:rsidRDefault="00B57863" w:rsidP="004830DF">
      <w:pPr>
        <w:pStyle w:val="NormalWeb"/>
        <w:spacing w:before="0" w:beforeAutospacing="0" w:after="0" w:afterAutospacing="0"/>
        <w:ind w:left="720" w:firstLine="720"/>
        <w:rPr>
          <w:rFonts w:asciiTheme="minorHAnsi" w:hAnsiTheme="minorHAnsi"/>
          <w:color w:val="000000"/>
          <w:sz w:val="22"/>
          <w:szCs w:val="22"/>
        </w:rPr>
      </w:pPr>
    </w:p>
    <w:p w14:paraId="35313B84" w14:textId="32685666" w:rsidR="00420A31" w:rsidRPr="004830DF" w:rsidRDefault="00420A31" w:rsidP="004830DF">
      <w:pPr>
        <w:pStyle w:val="NormalWeb"/>
        <w:spacing w:before="0" w:beforeAutospacing="0" w:after="0" w:afterAutospacing="0"/>
        <w:ind w:left="72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Action Step #2:</w:t>
      </w:r>
      <w:r w:rsidRPr="004830DF">
        <w:rPr>
          <w:rFonts w:asciiTheme="minorHAnsi" w:eastAsia="Calibri" w:hAnsiTheme="minorHAnsi" w:cs="Calibri"/>
          <w:color w:val="000000"/>
          <w:sz w:val="22"/>
          <w:szCs w:val="22"/>
        </w:rPr>
        <w:t xml:space="preserve"> </w:t>
      </w:r>
      <w:r w:rsidR="00B53C51" w:rsidRPr="004830DF">
        <w:rPr>
          <w:rFonts w:asciiTheme="minorHAnsi" w:eastAsia="Calibri" w:hAnsiTheme="minorHAnsi" w:cs="Calibri"/>
          <w:color w:val="000000"/>
          <w:sz w:val="22"/>
          <w:szCs w:val="22"/>
        </w:rPr>
        <w:t>Attract and support faculty who engage in scholarly teaching and utilize evidence-based teaching methods.</w:t>
      </w:r>
    </w:p>
    <w:p w14:paraId="0A1884F1" w14:textId="77777777" w:rsidR="00762D5B" w:rsidRPr="004830DF" w:rsidRDefault="00762D5B" w:rsidP="004830DF">
      <w:pPr>
        <w:pStyle w:val="NormalWeb"/>
        <w:spacing w:before="0" w:beforeAutospacing="0" w:after="0" w:afterAutospacing="0"/>
        <w:ind w:left="720"/>
        <w:rPr>
          <w:rFonts w:asciiTheme="minorHAnsi" w:eastAsia="Calibri" w:hAnsiTheme="minorHAnsi" w:cs="Calibri"/>
          <w:color w:val="000000"/>
          <w:sz w:val="22"/>
          <w:szCs w:val="22"/>
        </w:rPr>
      </w:pPr>
    </w:p>
    <w:p w14:paraId="6B18434F" w14:textId="1F692CCE" w:rsidR="00762D5B" w:rsidRPr="004830DF" w:rsidRDefault="00762D5B" w:rsidP="004830DF">
      <w:pPr>
        <w:pStyle w:val="NormalWeb"/>
        <w:spacing w:before="0" w:beforeAutospacing="0" w:after="0" w:afterAutospacing="0"/>
        <w:ind w:left="720"/>
        <w:rPr>
          <w:rFonts w:asciiTheme="minorHAnsi" w:eastAsia="Calibri" w:hAnsiTheme="minorHAnsi" w:cs="Calibri"/>
          <w:color w:val="000000" w:themeColor="text1"/>
          <w:sz w:val="22"/>
          <w:szCs w:val="22"/>
        </w:rPr>
      </w:pPr>
      <w:r w:rsidRPr="00A30A75">
        <w:rPr>
          <w:rFonts w:asciiTheme="minorHAnsi" w:eastAsia="Calibri" w:hAnsiTheme="minorHAnsi" w:cs="Calibri"/>
          <w:color w:val="000000"/>
          <w:sz w:val="22"/>
          <w:szCs w:val="22"/>
        </w:rPr>
        <w:t>Purpose:</w:t>
      </w:r>
      <w:r w:rsidR="00A71E23" w:rsidRPr="00A30A75">
        <w:rPr>
          <w:rFonts w:asciiTheme="minorHAnsi" w:eastAsia="Calibri" w:hAnsiTheme="minorHAnsi" w:cs="Calibri"/>
          <w:color w:val="000000"/>
          <w:sz w:val="22"/>
          <w:szCs w:val="22"/>
        </w:rPr>
        <w:t xml:space="preserve"> Scholarly teaching and the utilization of evidence-based teaching methods require significant investments of time and energy on the part of faculty. Because these two endeavors, when done properly, yield greater learning outcomes for our students and thus better prepare them for the post-college world, we should attract and support those educators engaging in these practices.</w:t>
      </w:r>
    </w:p>
    <w:p w14:paraId="5D1CA492" w14:textId="77777777" w:rsidR="00420A31" w:rsidRPr="004830DF" w:rsidRDefault="00420A31" w:rsidP="004830DF">
      <w:pPr>
        <w:pStyle w:val="NormalWeb"/>
        <w:spacing w:before="0" w:beforeAutospacing="0" w:after="0" w:afterAutospacing="0"/>
        <w:rPr>
          <w:rFonts w:asciiTheme="minorHAnsi" w:hAnsiTheme="minorHAnsi"/>
          <w:color w:val="000000"/>
          <w:sz w:val="22"/>
          <w:szCs w:val="22"/>
        </w:rPr>
      </w:pPr>
    </w:p>
    <w:p w14:paraId="4C8E7415" w14:textId="399E9E9E" w:rsidR="001C2F93" w:rsidRPr="004830DF" w:rsidRDefault="00420A3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#1:</w:t>
      </w:r>
      <w:r w:rsidRPr="004830DF">
        <w:rPr>
          <w:rFonts w:asciiTheme="minorHAnsi" w:eastAsia="Calibri" w:hAnsiTheme="minorHAnsi" w:cs="Calibri"/>
          <w:color w:val="000000"/>
          <w:sz w:val="22"/>
          <w:szCs w:val="22"/>
        </w:rPr>
        <w:t xml:space="preserve"> </w:t>
      </w:r>
      <w:r w:rsidR="00B53C51" w:rsidRPr="004830DF">
        <w:rPr>
          <w:rFonts w:asciiTheme="minorHAnsi" w:eastAsia="Calibri" w:hAnsiTheme="minorHAnsi" w:cs="Calibri"/>
          <w:color w:val="000000"/>
          <w:sz w:val="22"/>
          <w:szCs w:val="22"/>
        </w:rPr>
        <w:t xml:space="preserve">Update job ads for faculty positions to include verbiage </w:t>
      </w:r>
      <w:r w:rsidR="00DB628B" w:rsidRPr="004830DF">
        <w:rPr>
          <w:rFonts w:asciiTheme="minorHAnsi" w:eastAsia="Calibri" w:hAnsiTheme="minorHAnsi" w:cs="Calibri"/>
          <w:color w:val="000000"/>
          <w:sz w:val="22"/>
          <w:szCs w:val="22"/>
        </w:rPr>
        <w:t>that conveys</w:t>
      </w:r>
      <w:r w:rsidR="0099710C" w:rsidRPr="004830DF">
        <w:rPr>
          <w:rFonts w:asciiTheme="minorHAnsi" w:eastAsia="Calibri" w:hAnsiTheme="minorHAnsi" w:cs="Calibri"/>
          <w:color w:val="000000"/>
          <w:sz w:val="22"/>
          <w:szCs w:val="22"/>
        </w:rPr>
        <w:t xml:space="preserve"> that </w:t>
      </w:r>
      <w:r w:rsidR="00DB628B" w:rsidRPr="004830DF">
        <w:rPr>
          <w:rFonts w:asciiTheme="minorHAnsi" w:eastAsia="Calibri" w:hAnsiTheme="minorHAnsi" w:cs="Calibri"/>
          <w:color w:val="000000"/>
          <w:sz w:val="22"/>
          <w:szCs w:val="22"/>
        </w:rPr>
        <w:t>SFA values</w:t>
      </w:r>
      <w:r w:rsidR="0099710C" w:rsidRPr="004830DF">
        <w:rPr>
          <w:rFonts w:asciiTheme="minorHAnsi" w:eastAsia="Calibri" w:hAnsiTheme="minorHAnsi" w:cs="Calibri"/>
          <w:color w:val="000000"/>
          <w:sz w:val="22"/>
          <w:szCs w:val="22"/>
        </w:rPr>
        <w:t xml:space="preserve"> </w:t>
      </w:r>
      <w:r w:rsidR="00B53C51" w:rsidRPr="004830DF">
        <w:rPr>
          <w:rFonts w:asciiTheme="minorHAnsi" w:eastAsia="Calibri" w:hAnsiTheme="minorHAnsi" w:cs="Calibri"/>
          <w:color w:val="000000"/>
          <w:sz w:val="22"/>
          <w:szCs w:val="22"/>
        </w:rPr>
        <w:t>evidence-based teaching</w:t>
      </w:r>
      <w:r w:rsidR="0099710C" w:rsidRPr="004830DF">
        <w:rPr>
          <w:rFonts w:asciiTheme="minorHAnsi" w:eastAsia="Calibri" w:hAnsiTheme="minorHAnsi" w:cs="Calibri"/>
          <w:color w:val="000000"/>
          <w:sz w:val="22"/>
          <w:szCs w:val="22"/>
        </w:rPr>
        <w:t xml:space="preserve"> and </w:t>
      </w:r>
      <w:r w:rsidR="00DB628B" w:rsidRPr="004830DF">
        <w:rPr>
          <w:rFonts w:asciiTheme="minorHAnsi" w:eastAsia="Calibri" w:hAnsiTheme="minorHAnsi" w:cs="Calibri"/>
          <w:color w:val="000000"/>
          <w:sz w:val="22"/>
          <w:szCs w:val="22"/>
        </w:rPr>
        <w:t xml:space="preserve">to </w:t>
      </w:r>
      <w:r w:rsidR="0099710C" w:rsidRPr="004830DF">
        <w:rPr>
          <w:rFonts w:asciiTheme="minorHAnsi" w:eastAsia="Calibri" w:hAnsiTheme="minorHAnsi" w:cs="Calibri"/>
          <w:color w:val="000000"/>
          <w:sz w:val="22"/>
          <w:szCs w:val="22"/>
        </w:rPr>
        <w:t>encourage all candidates to</w:t>
      </w:r>
      <w:r w:rsidR="00730869" w:rsidRPr="004830DF">
        <w:rPr>
          <w:rFonts w:asciiTheme="minorHAnsi" w:eastAsia="Calibri" w:hAnsiTheme="minorHAnsi" w:cs="Calibri"/>
          <w:color w:val="000000"/>
          <w:sz w:val="22"/>
          <w:szCs w:val="22"/>
        </w:rPr>
        <w:t xml:space="preserve"> provide teaching statements and</w:t>
      </w:r>
      <w:r w:rsidR="0099710C" w:rsidRPr="004830DF">
        <w:rPr>
          <w:rFonts w:asciiTheme="minorHAnsi" w:eastAsia="Calibri" w:hAnsiTheme="minorHAnsi" w:cs="Calibri"/>
          <w:color w:val="000000"/>
          <w:sz w:val="22"/>
          <w:szCs w:val="22"/>
        </w:rPr>
        <w:t xml:space="preserve"> give teaching talks.</w:t>
      </w:r>
    </w:p>
    <w:p w14:paraId="34F44208"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19960A0B" w14:textId="0FFE5529"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Explanation: If SFA intends to market itself as an institution focused on</w:t>
      </w:r>
      <w:r w:rsidR="00730869" w:rsidRPr="004830DF">
        <w:rPr>
          <w:rFonts w:asciiTheme="minorHAnsi" w:eastAsia="Calibri" w:hAnsiTheme="minorHAnsi" w:cs="Calibri"/>
          <w:color w:val="000000"/>
          <w:sz w:val="22"/>
          <w:szCs w:val="22"/>
        </w:rPr>
        <w:t xml:space="preserve"> teaching and</w:t>
      </w:r>
      <w:r w:rsidRPr="004830DF">
        <w:rPr>
          <w:rFonts w:asciiTheme="minorHAnsi" w:eastAsia="Calibri" w:hAnsiTheme="minorHAnsi" w:cs="Calibri"/>
          <w:color w:val="000000"/>
          <w:sz w:val="22"/>
          <w:szCs w:val="22"/>
        </w:rPr>
        <w:t xml:space="preserve"> learning, we should ask our faculty job candidates to indicate their experience with and interest in </w:t>
      </w:r>
      <w:r w:rsidR="00730869" w:rsidRPr="004830DF">
        <w:rPr>
          <w:rFonts w:asciiTheme="minorHAnsi" w:eastAsia="Calibri" w:hAnsiTheme="minorHAnsi" w:cs="Calibri"/>
          <w:color w:val="000000"/>
          <w:sz w:val="22"/>
          <w:szCs w:val="22"/>
        </w:rPr>
        <w:t xml:space="preserve">these </w:t>
      </w:r>
      <w:r w:rsidR="00DB628B" w:rsidRPr="004830DF">
        <w:rPr>
          <w:rFonts w:asciiTheme="minorHAnsi" w:eastAsia="Calibri" w:hAnsiTheme="minorHAnsi" w:cs="Calibri"/>
          <w:color w:val="000000"/>
          <w:sz w:val="22"/>
          <w:szCs w:val="22"/>
        </w:rPr>
        <w:t>areas</w:t>
      </w:r>
      <w:r w:rsidRPr="004830DF">
        <w:rPr>
          <w:rFonts w:asciiTheme="minorHAnsi" w:eastAsia="Calibri" w:hAnsiTheme="minorHAnsi" w:cs="Calibri"/>
          <w:color w:val="000000"/>
          <w:sz w:val="22"/>
          <w:szCs w:val="22"/>
        </w:rPr>
        <w:t>. Individuals hired as faculty will have a significant portion of their daily duties</w:t>
      </w:r>
      <w:r w:rsidR="00BB3A14" w:rsidRPr="004830DF">
        <w:rPr>
          <w:rFonts w:asciiTheme="minorHAnsi" w:eastAsia="Calibri" w:hAnsiTheme="minorHAnsi" w:cs="Calibri"/>
          <w:color w:val="000000"/>
          <w:sz w:val="22"/>
          <w:szCs w:val="22"/>
        </w:rPr>
        <w:t xml:space="preserve"> comprised of teaching</w:t>
      </w:r>
      <w:r w:rsidRPr="004830DF">
        <w:rPr>
          <w:rFonts w:asciiTheme="minorHAnsi" w:eastAsia="Calibri" w:hAnsiTheme="minorHAnsi" w:cs="Calibri"/>
          <w:color w:val="000000"/>
          <w:sz w:val="22"/>
          <w:szCs w:val="22"/>
        </w:rPr>
        <w:t>; therefore, we should ask candidates to display their knowledge</w:t>
      </w:r>
      <w:r w:rsidR="00DB628B" w:rsidRPr="004830DF">
        <w:rPr>
          <w:rFonts w:asciiTheme="minorHAnsi" w:eastAsia="Calibri" w:hAnsiTheme="minorHAnsi" w:cs="Calibri"/>
          <w:color w:val="000000"/>
          <w:sz w:val="22"/>
          <w:szCs w:val="22"/>
        </w:rPr>
        <w:t xml:space="preserve"> of</w:t>
      </w:r>
      <w:r w:rsidRPr="004830DF">
        <w:rPr>
          <w:rFonts w:asciiTheme="minorHAnsi" w:eastAsia="Calibri" w:hAnsiTheme="minorHAnsi" w:cs="Calibri"/>
          <w:color w:val="000000"/>
          <w:sz w:val="22"/>
          <w:szCs w:val="22"/>
        </w:rPr>
        <w:t xml:space="preserve"> and </w:t>
      </w:r>
      <w:r w:rsidR="00DB628B" w:rsidRPr="004830DF">
        <w:rPr>
          <w:rFonts w:asciiTheme="minorHAnsi" w:eastAsia="Calibri" w:hAnsiTheme="minorHAnsi" w:cs="Calibri"/>
          <w:color w:val="000000"/>
          <w:sz w:val="22"/>
          <w:szCs w:val="22"/>
        </w:rPr>
        <w:t xml:space="preserve">to demonstrate </w:t>
      </w:r>
      <w:r w:rsidRPr="004830DF">
        <w:rPr>
          <w:rFonts w:asciiTheme="minorHAnsi" w:eastAsia="Calibri" w:hAnsiTheme="minorHAnsi" w:cs="Calibri"/>
          <w:color w:val="000000"/>
          <w:sz w:val="22"/>
          <w:szCs w:val="22"/>
        </w:rPr>
        <w:t xml:space="preserve">practice </w:t>
      </w:r>
      <w:r w:rsidR="00DB628B" w:rsidRPr="004830DF">
        <w:rPr>
          <w:rFonts w:asciiTheme="minorHAnsi" w:eastAsia="Calibri" w:hAnsiTheme="minorHAnsi" w:cs="Calibri"/>
          <w:color w:val="000000"/>
          <w:sz w:val="22"/>
          <w:szCs w:val="22"/>
        </w:rPr>
        <w:t>in</w:t>
      </w:r>
      <w:r w:rsidRPr="004830DF">
        <w:rPr>
          <w:rFonts w:asciiTheme="minorHAnsi" w:eastAsia="Calibri" w:hAnsiTheme="minorHAnsi" w:cs="Calibri"/>
          <w:color w:val="000000"/>
          <w:sz w:val="22"/>
          <w:szCs w:val="22"/>
        </w:rPr>
        <w:t xml:space="preserve"> scholarly teaching.</w:t>
      </w:r>
    </w:p>
    <w:p w14:paraId="67360F07"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1FEB5E41" w14:textId="75086994"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Approval of new verbiage by Human Resources, </w:t>
      </w:r>
      <w:r w:rsidR="00157EB0" w:rsidRPr="004830DF">
        <w:rPr>
          <w:rFonts w:asciiTheme="minorHAnsi" w:eastAsia="Calibri" w:hAnsiTheme="minorHAnsi" w:cs="Calibri"/>
          <w:color w:val="000000"/>
          <w:sz w:val="22"/>
          <w:szCs w:val="22"/>
        </w:rPr>
        <w:t>all</w:t>
      </w:r>
      <w:r w:rsidRPr="004830DF">
        <w:rPr>
          <w:rFonts w:asciiTheme="minorHAnsi" w:eastAsia="Calibri" w:hAnsiTheme="minorHAnsi" w:cs="Calibri"/>
          <w:color w:val="000000"/>
          <w:sz w:val="22"/>
          <w:szCs w:val="22"/>
        </w:rPr>
        <w:t xml:space="preserve"> academic departments.</w:t>
      </w:r>
    </w:p>
    <w:p w14:paraId="4099F7B6"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6DC0E7B1" w14:textId="5A382B92"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Immediate Targets: Implement new verbiage in job ads by fall 2017.</w:t>
      </w:r>
    </w:p>
    <w:p w14:paraId="4474A9A6" w14:textId="77777777"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sz w:val="22"/>
          <w:szCs w:val="22"/>
        </w:rPr>
      </w:pPr>
    </w:p>
    <w:p w14:paraId="4A9D2CDB" w14:textId="4BC5FC52"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Long-Range Targets:</w:t>
      </w:r>
      <w:r w:rsidR="00730869" w:rsidRPr="004830DF">
        <w:rPr>
          <w:rFonts w:asciiTheme="minorHAnsi" w:eastAsia="Calibri" w:hAnsiTheme="minorHAnsi" w:cs="Calibri"/>
          <w:color w:val="000000"/>
          <w:sz w:val="22"/>
          <w:szCs w:val="22"/>
        </w:rPr>
        <w:t xml:space="preserve"> N/A</w:t>
      </w:r>
    </w:p>
    <w:p w14:paraId="352103EB"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3B06D7DD" w14:textId="316CA64D" w:rsidR="007C67E4"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Human Resources, all </w:t>
      </w:r>
      <w:r w:rsidR="00157EB0" w:rsidRPr="004830DF">
        <w:rPr>
          <w:rFonts w:asciiTheme="minorHAnsi" w:eastAsia="Calibri" w:hAnsiTheme="minorHAnsi" w:cs="Calibri"/>
          <w:color w:val="000000"/>
          <w:sz w:val="22"/>
          <w:szCs w:val="22"/>
        </w:rPr>
        <w:t xml:space="preserve">academic </w:t>
      </w:r>
      <w:r w:rsidRPr="004830DF">
        <w:rPr>
          <w:rFonts w:asciiTheme="minorHAnsi" w:eastAsia="Calibri" w:hAnsiTheme="minorHAnsi" w:cs="Calibri"/>
          <w:color w:val="000000"/>
          <w:sz w:val="22"/>
          <w:szCs w:val="22"/>
        </w:rPr>
        <w:t>departments.</w:t>
      </w:r>
    </w:p>
    <w:p w14:paraId="486043FB" w14:textId="77777777" w:rsidR="00B53C51" w:rsidRPr="004830DF" w:rsidRDefault="00B53C51" w:rsidP="004830DF">
      <w:pPr>
        <w:pStyle w:val="NormalWeb"/>
        <w:spacing w:before="0" w:beforeAutospacing="0" w:after="0" w:afterAutospacing="0"/>
        <w:ind w:left="1440"/>
        <w:rPr>
          <w:rFonts w:asciiTheme="minorHAnsi" w:hAnsiTheme="minorHAnsi"/>
          <w:color w:val="000000"/>
          <w:sz w:val="22"/>
          <w:szCs w:val="22"/>
        </w:rPr>
      </w:pPr>
    </w:p>
    <w:p w14:paraId="59EAE6F1" w14:textId="25A1D46A" w:rsidR="00B53C51" w:rsidRPr="004830DF" w:rsidRDefault="00B53C5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#2:</w:t>
      </w:r>
      <w:r w:rsidRPr="004830DF">
        <w:rPr>
          <w:rFonts w:asciiTheme="minorHAnsi" w:eastAsia="Calibri" w:hAnsiTheme="minorHAnsi" w:cs="Calibri"/>
          <w:color w:val="000000"/>
          <w:sz w:val="22"/>
          <w:szCs w:val="22"/>
        </w:rPr>
        <w:t xml:space="preserve"> Provide library support to faculty seeking resources on evidence-based teaching.</w:t>
      </w:r>
    </w:p>
    <w:p w14:paraId="024392C6" w14:textId="6483440D"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799F04AC" w14:textId="4EE1487F"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Explanation: If faculty are to be expected to stay abreast of the latest research on teaching and learning and possibly to contribute to this scholarship, it is crucial that they have access to appropriate databases</w:t>
      </w:r>
      <w:r w:rsidR="00157EB0" w:rsidRPr="004830DF">
        <w:rPr>
          <w:rFonts w:asciiTheme="minorHAnsi" w:eastAsia="Calibri" w:hAnsiTheme="minorHAnsi" w:cs="Calibri"/>
          <w:color w:val="000000"/>
          <w:sz w:val="22"/>
          <w:szCs w:val="22"/>
        </w:rPr>
        <w:t xml:space="preserve"> and</w:t>
      </w:r>
      <w:r w:rsidRPr="004830DF">
        <w:rPr>
          <w:rFonts w:asciiTheme="minorHAnsi" w:eastAsia="Calibri" w:hAnsiTheme="minorHAnsi" w:cs="Calibri"/>
          <w:color w:val="000000"/>
          <w:sz w:val="22"/>
          <w:szCs w:val="22"/>
        </w:rPr>
        <w:t xml:space="preserve"> journals and that they be aware of the presence of </w:t>
      </w:r>
      <w:proofErr w:type="spellStart"/>
      <w:r w:rsidRPr="004830DF">
        <w:rPr>
          <w:rFonts w:asciiTheme="minorHAnsi" w:eastAsia="Calibri" w:hAnsiTheme="minorHAnsi" w:cs="Calibri"/>
          <w:color w:val="000000"/>
          <w:sz w:val="22"/>
          <w:szCs w:val="22"/>
        </w:rPr>
        <w:t>ScholarWorks</w:t>
      </w:r>
      <w:proofErr w:type="spellEnd"/>
      <w:r w:rsidRPr="004830DF">
        <w:rPr>
          <w:rFonts w:asciiTheme="minorHAnsi" w:eastAsia="Calibri" w:hAnsiTheme="minorHAnsi" w:cs="Calibri"/>
          <w:color w:val="000000"/>
          <w:sz w:val="22"/>
          <w:szCs w:val="22"/>
        </w:rPr>
        <w:t xml:space="preserve"> and </w:t>
      </w:r>
      <w:proofErr w:type="spellStart"/>
      <w:r w:rsidRPr="004830DF">
        <w:rPr>
          <w:rFonts w:asciiTheme="minorHAnsi" w:eastAsia="Calibri" w:hAnsiTheme="minorHAnsi" w:cs="Calibri"/>
          <w:color w:val="000000"/>
          <w:sz w:val="22"/>
          <w:szCs w:val="22"/>
        </w:rPr>
        <w:t>LibGuides</w:t>
      </w:r>
      <w:proofErr w:type="spellEnd"/>
      <w:r w:rsidRPr="004830DF">
        <w:rPr>
          <w:rFonts w:asciiTheme="minorHAnsi" w:eastAsia="Calibri" w:hAnsiTheme="minorHAnsi" w:cs="Calibri"/>
          <w:color w:val="000000"/>
          <w:sz w:val="22"/>
          <w:szCs w:val="22"/>
        </w:rPr>
        <w:t>.</w:t>
      </w:r>
    </w:p>
    <w:p w14:paraId="669D3182"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62044CAE" w14:textId="287096BB"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Resources Needed: Dedication of library resources to support access to appropriate databases and journals.</w:t>
      </w:r>
    </w:p>
    <w:p w14:paraId="744B29D3"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12A3F103" w14:textId="7D42A78F"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Immediate Targets: In Fall 2017, survey faculty to identify which databases and journals are needed.</w:t>
      </w:r>
    </w:p>
    <w:p w14:paraId="7E92FA46"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23EBA0EE" w14:textId="6140F8E3"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In FY 2018, </w:t>
      </w:r>
      <w:r w:rsidR="00730869" w:rsidRPr="004830DF">
        <w:rPr>
          <w:rFonts w:asciiTheme="minorHAnsi" w:eastAsia="Calibri" w:hAnsiTheme="minorHAnsi" w:cs="Calibri"/>
          <w:color w:val="000000"/>
          <w:sz w:val="22"/>
          <w:szCs w:val="22"/>
        </w:rPr>
        <w:t>p</w:t>
      </w:r>
      <w:r w:rsidRPr="004830DF">
        <w:rPr>
          <w:rFonts w:asciiTheme="minorHAnsi" w:eastAsia="Calibri" w:hAnsiTheme="minorHAnsi" w:cs="Calibri"/>
          <w:color w:val="000000"/>
          <w:sz w:val="22"/>
          <w:szCs w:val="22"/>
        </w:rPr>
        <w:t>urchase access to as many requested databases and journals</w:t>
      </w:r>
      <w:r w:rsidR="00157EB0" w:rsidRPr="004830DF">
        <w:rPr>
          <w:rFonts w:asciiTheme="minorHAnsi" w:eastAsia="Calibri" w:hAnsiTheme="minorHAnsi" w:cs="Calibri"/>
          <w:color w:val="000000"/>
          <w:sz w:val="22"/>
          <w:szCs w:val="22"/>
        </w:rPr>
        <w:t xml:space="preserve"> as is fiscally feasible</w:t>
      </w:r>
      <w:r w:rsidRPr="004830DF">
        <w:rPr>
          <w:rFonts w:asciiTheme="minorHAnsi" w:eastAsia="Calibri" w:hAnsiTheme="minorHAnsi" w:cs="Calibri"/>
          <w:color w:val="000000"/>
          <w:sz w:val="22"/>
          <w:szCs w:val="22"/>
        </w:rPr>
        <w:t>.</w:t>
      </w:r>
    </w:p>
    <w:p w14:paraId="17D3C095" w14:textId="77777777" w:rsidR="001C2F93" w:rsidRPr="004830DF" w:rsidRDefault="001C2F93" w:rsidP="004830DF">
      <w:pPr>
        <w:pStyle w:val="NormalWeb"/>
        <w:spacing w:before="0" w:beforeAutospacing="0" w:after="0" w:afterAutospacing="0"/>
        <w:ind w:left="1440"/>
        <w:rPr>
          <w:rFonts w:asciiTheme="minorHAnsi" w:hAnsiTheme="minorHAnsi"/>
          <w:color w:val="000000"/>
          <w:sz w:val="22"/>
          <w:szCs w:val="22"/>
        </w:rPr>
      </w:pPr>
    </w:p>
    <w:p w14:paraId="6A5FF35A" w14:textId="0EE933A9" w:rsidR="001C2F93" w:rsidRPr="004830DF" w:rsidRDefault="001C2F93"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Impacted Departments: Steen Library, all academic departments.</w:t>
      </w:r>
    </w:p>
    <w:p w14:paraId="58AA0A1B" w14:textId="77777777" w:rsidR="00B53C51" w:rsidRPr="004830DF" w:rsidRDefault="00B53C51" w:rsidP="004830DF">
      <w:pPr>
        <w:pStyle w:val="NormalWeb"/>
        <w:spacing w:before="0" w:beforeAutospacing="0" w:after="0" w:afterAutospacing="0"/>
        <w:ind w:left="1440"/>
        <w:rPr>
          <w:rFonts w:asciiTheme="minorHAnsi" w:hAnsiTheme="minorHAnsi"/>
          <w:color w:val="000000"/>
          <w:sz w:val="22"/>
          <w:szCs w:val="22"/>
        </w:rPr>
      </w:pPr>
    </w:p>
    <w:p w14:paraId="0E528CAC" w14:textId="57F03BAD" w:rsidR="00B53C51" w:rsidRPr="004830DF" w:rsidRDefault="00B53C5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#3:</w:t>
      </w:r>
      <w:r w:rsidRPr="004830DF">
        <w:rPr>
          <w:rFonts w:asciiTheme="minorHAnsi" w:eastAsia="Calibri" w:hAnsiTheme="minorHAnsi" w:cs="Calibri"/>
          <w:color w:val="000000"/>
          <w:sz w:val="22"/>
          <w:szCs w:val="22"/>
        </w:rPr>
        <w:t xml:space="preserve"> CTL </w:t>
      </w:r>
      <w:r w:rsidR="004A2FBF" w:rsidRPr="004830DF">
        <w:rPr>
          <w:rFonts w:asciiTheme="minorHAnsi" w:eastAsia="Calibri" w:hAnsiTheme="minorHAnsi" w:cs="Calibri"/>
          <w:color w:val="000000"/>
          <w:sz w:val="22"/>
          <w:szCs w:val="22"/>
        </w:rPr>
        <w:t xml:space="preserve">will </w:t>
      </w:r>
      <w:r w:rsidRPr="004830DF">
        <w:rPr>
          <w:rFonts w:asciiTheme="minorHAnsi" w:eastAsia="Calibri" w:hAnsiTheme="minorHAnsi" w:cs="Calibri"/>
          <w:color w:val="000000"/>
          <w:sz w:val="22"/>
          <w:szCs w:val="22"/>
        </w:rPr>
        <w:t>continue to provide workshops and seminars that showcase evidence-based teaching methods.</w:t>
      </w:r>
    </w:p>
    <w:p w14:paraId="746A0906" w14:textId="0D7CE3F7" w:rsidR="004A2FBF" w:rsidRPr="004830DF" w:rsidRDefault="004A2FBF" w:rsidP="004830DF">
      <w:pPr>
        <w:pStyle w:val="NormalWeb"/>
        <w:spacing w:before="0" w:beforeAutospacing="0" w:after="0" w:afterAutospacing="0"/>
        <w:ind w:left="1440"/>
        <w:rPr>
          <w:rFonts w:asciiTheme="minorHAnsi" w:hAnsiTheme="minorHAnsi"/>
          <w:color w:val="000000"/>
          <w:sz w:val="22"/>
          <w:szCs w:val="22"/>
        </w:rPr>
      </w:pPr>
    </w:p>
    <w:p w14:paraId="01615169" w14:textId="66FA7EEE" w:rsidR="004A2FBF" w:rsidRPr="004830DF" w:rsidRDefault="004A2FBF"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Explanation: Given that supporting effective teaching and learning can be a costly endeavor, it is critical that we continue to utilize existing resources to showcase evidence-based teaching methods for our faculty.</w:t>
      </w:r>
    </w:p>
    <w:p w14:paraId="543355E2" w14:textId="77777777" w:rsidR="004A2FBF" w:rsidRPr="004830DF" w:rsidRDefault="004A2FBF" w:rsidP="004830DF">
      <w:pPr>
        <w:pStyle w:val="NormalWeb"/>
        <w:spacing w:before="0" w:beforeAutospacing="0" w:after="0" w:afterAutospacing="0"/>
        <w:ind w:left="1440"/>
        <w:rPr>
          <w:rFonts w:asciiTheme="minorHAnsi" w:hAnsiTheme="minorHAnsi"/>
          <w:color w:val="000000"/>
          <w:sz w:val="22"/>
          <w:szCs w:val="22"/>
        </w:rPr>
      </w:pPr>
    </w:p>
    <w:p w14:paraId="533BB313" w14:textId="661F403C" w:rsidR="004A2FBF" w:rsidRPr="004830DF" w:rsidRDefault="004A2FBF"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00157EB0" w:rsidRPr="004830DF">
        <w:rPr>
          <w:rFonts w:asciiTheme="minorHAnsi" w:eastAsia="Calibri" w:hAnsiTheme="minorHAnsi" w:cs="Calibri"/>
          <w:color w:val="000000"/>
          <w:sz w:val="22"/>
          <w:szCs w:val="22"/>
        </w:rPr>
        <w:t xml:space="preserve">Continued funding of </w:t>
      </w:r>
      <w:r w:rsidRPr="004830DF">
        <w:rPr>
          <w:rFonts w:asciiTheme="minorHAnsi" w:eastAsia="Calibri" w:hAnsiTheme="minorHAnsi" w:cs="Calibri"/>
          <w:color w:val="000000"/>
          <w:sz w:val="22"/>
          <w:szCs w:val="22"/>
        </w:rPr>
        <w:t>CTL staff,</w:t>
      </w:r>
      <w:r w:rsidR="00157EB0" w:rsidRPr="004830DF">
        <w:rPr>
          <w:rFonts w:asciiTheme="minorHAnsi" w:eastAsia="Calibri" w:hAnsiTheme="minorHAnsi" w:cs="Calibri"/>
          <w:color w:val="000000"/>
          <w:sz w:val="22"/>
          <w:szCs w:val="22"/>
        </w:rPr>
        <w:t xml:space="preserve"> use of their</w:t>
      </w:r>
      <w:r w:rsidRPr="004830DF">
        <w:rPr>
          <w:rFonts w:asciiTheme="minorHAnsi" w:eastAsia="Calibri" w:hAnsiTheme="minorHAnsi" w:cs="Calibri"/>
          <w:color w:val="000000"/>
          <w:sz w:val="22"/>
          <w:szCs w:val="22"/>
        </w:rPr>
        <w:t xml:space="preserve"> time</w:t>
      </w:r>
      <w:r w:rsidR="00157EB0" w:rsidRPr="004830DF">
        <w:rPr>
          <w:rFonts w:asciiTheme="minorHAnsi" w:eastAsia="Calibri" w:hAnsiTheme="minorHAnsi" w:cs="Calibri"/>
          <w:color w:val="000000"/>
          <w:sz w:val="22"/>
          <w:szCs w:val="22"/>
        </w:rPr>
        <w:t xml:space="preserve"> to develop and deliver educator development workshops and seminars</w:t>
      </w:r>
      <w:r w:rsidRPr="004830DF">
        <w:rPr>
          <w:rFonts w:asciiTheme="minorHAnsi" w:eastAsia="Calibri" w:hAnsiTheme="minorHAnsi" w:cs="Calibri"/>
          <w:color w:val="000000"/>
          <w:sz w:val="22"/>
          <w:szCs w:val="22"/>
        </w:rPr>
        <w:t>.</w:t>
      </w:r>
    </w:p>
    <w:p w14:paraId="5B1F554E" w14:textId="77777777" w:rsidR="004A2FBF" w:rsidRPr="004830DF" w:rsidRDefault="004A2FBF" w:rsidP="004830DF">
      <w:pPr>
        <w:pStyle w:val="NormalWeb"/>
        <w:spacing w:before="0" w:beforeAutospacing="0" w:after="0" w:afterAutospacing="0"/>
        <w:ind w:left="1440"/>
        <w:rPr>
          <w:rFonts w:asciiTheme="minorHAnsi" w:hAnsiTheme="minorHAnsi"/>
          <w:color w:val="000000"/>
          <w:sz w:val="22"/>
          <w:szCs w:val="22"/>
        </w:rPr>
      </w:pPr>
    </w:p>
    <w:p w14:paraId="611E1148" w14:textId="00448120" w:rsidR="004A2FBF" w:rsidRPr="004830DF" w:rsidRDefault="004A2FBF"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Immediate Targets: N/A</w:t>
      </w:r>
    </w:p>
    <w:p w14:paraId="376417B2" w14:textId="77777777" w:rsidR="004A2FBF" w:rsidRPr="004830DF" w:rsidRDefault="004A2FBF" w:rsidP="004830DF">
      <w:pPr>
        <w:pStyle w:val="NormalWeb"/>
        <w:spacing w:before="0" w:beforeAutospacing="0" w:after="0" w:afterAutospacing="0"/>
        <w:ind w:left="1440"/>
        <w:rPr>
          <w:rFonts w:asciiTheme="minorHAnsi" w:hAnsiTheme="minorHAnsi"/>
          <w:color w:val="000000"/>
          <w:sz w:val="22"/>
          <w:szCs w:val="22"/>
        </w:rPr>
      </w:pPr>
    </w:p>
    <w:p w14:paraId="736338EB" w14:textId="5F1A5129" w:rsidR="004A2FBF" w:rsidRPr="004830DF" w:rsidRDefault="004A2FBF"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Long-Range Targets: N/A</w:t>
      </w:r>
    </w:p>
    <w:p w14:paraId="4185B7CF" w14:textId="77777777" w:rsidR="004A2FBF" w:rsidRPr="004830DF" w:rsidRDefault="004A2FBF" w:rsidP="004830DF">
      <w:pPr>
        <w:pStyle w:val="NormalWeb"/>
        <w:spacing w:before="0" w:beforeAutospacing="0" w:after="0" w:afterAutospacing="0"/>
        <w:ind w:left="1440"/>
        <w:rPr>
          <w:rFonts w:asciiTheme="minorHAnsi" w:hAnsiTheme="minorHAnsi"/>
          <w:color w:val="000000"/>
          <w:sz w:val="22"/>
          <w:szCs w:val="22"/>
        </w:rPr>
      </w:pPr>
    </w:p>
    <w:p w14:paraId="73CF9179" w14:textId="0FA87601" w:rsidR="004A2FBF" w:rsidRPr="004830DF" w:rsidRDefault="004A2FBF"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Impacted Departments: Center for Teaching &amp; Learning, all academic departments</w:t>
      </w:r>
    </w:p>
    <w:p w14:paraId="6231F602" w14:textId="77777777" w:rsidR="00B53C51" w:rsidRPr="004830DF" w:rsidRDefault="00B53C51" w:rsidP="004830DF">
      <w:pPr>
        <w:pStyle w:val="NormalWeb"/>
        <w:spacing w:before="0" w:beforeAutospacing="0" w:after="0" w:afterAutospacing="0"/>
        <w:ind w:left="1440"/>
        <w:rPr>
          <w:rFonts w:asciiTheme="minorHAnsi" w:hAnsiTheme="minorHAnsi"/>
          <w:color w:val="000000"/>
          <w:sz w:val="22"/>
          <w:szCs w:val="22"/>
        </w:rPr>
      </w:pPr>
    </w:p>
    <w:p w14:paraId="31B79952" w14:textId="2ECA09A1" w:rsidR="00B53C51" w:rsidRPr="004830DF" w:rsidRDefault="00B53C51"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157EB0" w:rsidRPr="004830DF">
        <w:rPr>
          <w:rFonts w:asciiTheme="minorHAnsi" w:eastAsia="Calibri" w:hAnsiTheme="minorHAnsi" w:cs="Calibri"/>
          <w:b/>
          <w:bCs/>
          <w:color w:val="000000"/>
          <w:sz w:val="22"/>
          <w:szCs w:val="22"/>
          <w:u w:val="single"/>
        </w:rPr>
        <w:t>4</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See </w:t>
      </w:r>
      <w:r w:rsidR="00656AE2" w:rsidRPr="004830DF">
        <w:rPr>
          <w:rFonts w:asciiTheme="minorHAnsi" w:eastAsia="Calibri" w:hAnsiTheme="minorHAnsi" w:cs="Calibri"/>
          <w:color w:val="000000"/>
          <w:sz w:val="22"/>
          <w:szCs w:val="22"/>
        </w:rPr>
        <w:t xml:space="preserve">Action Step #1, </w:t>
      </w:r>
      <w:r w:rsidRPr="004830DF">
        <w:rPr>
          <w:rFonts w:asciiTheme="minorHAnsi" w:eastAsia="Calibri" w:hAnsiTheme="minorHAnsi" w:cs="Calibri"/>
          <w:color w:val="000000"/>
          <w:sz w:val="22"/>
          <w:szCs w:val="22"/>
        </w:rPr>
        <w:t>Task #</w:t>
      </w:r>
      <w:r w:rsidR="00656AE2" w:rsidRPr="004830DF">
        <w:rPr>
          <w:rFonts w:asciiTheme="minorHAnsi" w:eastAsia="Calibri" w:hAnsiTheme="minorHAnsi" w:cs="Calibri"/>
          <w:color w:val="000000"/>
          <w:sz w:val="22"/>
          <w:szCs w:val="22"/>
        </w:rPr>
        <w:t>5</w:t>
      </w:r>
      <w:r w:rsidRPr="004830DF">
        <w:rPr>
          <w:rFonts w:asciiTheme="minorHAnsi" w:eastAsia="Calibri" w:hAnsiTheme="minorHAnsi" w:cs="Calibri"/>
          <w:color w:val="000000"/>
          <w:sz w:val="22"/>
          <w:szCs w:val="22"/>
        </w:rPr>
        <w:t xml:space="preserve"> above; same applies here.</w:t>
      </w:r>
    </w:p>
    <w:p w14:paraId="41AB64E4" w14:textId="77777777" w:rsidR="00744870" w:rsidRPr="004830DF" w:rsidRDefault="00744870" w:rsidP="004830DF">
      <w:pPr>
        <w:pStyle w:val="NormalWeb"/>
        <w:spacing w:before="0" w:beforeAutospacing="0" w:after="0" w:afterAutospacing="0"/>
        <w:ind w:left="1440"/>
        <w:rPr>
          <w:rFonts w:asciiTheme="minorHAnsi" w:hAnsiTheme="minorHAnsi"/>
          <w:color w:val="000000"/>
          <w:sz w:val="22"/>
          <w:szCs w:val="22"/>
        </w:rPr>
      </w:pPr>
    </w:p>
    <w:p w14:paraId="674A573E" w14:textId="4BC8223B" w:rsidR="00744870" w:rsidRPr="004830DF" w:rsidRDefault="00744870" w:rsidP="004830DF">
      <w:pPr>
        <w:pStyle w:val="NormalWeb"/>
        <w:spacing w:before="0" w:beforeAutospacing="0" w:after="0" w:afterAutospacing="0"/>
        <w:ind w:left="1440"/>
        <w:rPr>
          <w:rFonts w:asciiTheme="minorHAnsi" w:eastAsia="Calibri" w:hAnsiTheme="minorHAnsi" w:cs="Calibri"/>
          <w:color w:val="000000"/>
          <w:sz w:val="22"/>
          <w:szCs w:val="22"/>
        </w:rPr>
      </w:pPr>
      <w:r w:rsidRPr="004830DF">
        <w:rPr>
          <w:rFonts w:asciiTheme="minorHAnsi" w:eastAsia="Calibri" w:hAnsiTheme="minorHAnsi" w:cs="Calibri"/>
          <w:b/>
          <w:color w:val="000000"/>
          <w:sz w:val="22"/>
          <w:szCs w:val="22"/>
          <w:u w:val="single"/>
        </w:rPr>
        <w:t>Task #5:</w:t>
      </w:r>
      <w:r w:rsidRPr="004830DF">
        <w:rPr>
          <w:rFonts w:asciiTheme="minorHAnsi" w:eastAsia="Calibri" w:hAnsiTheme="minorHAnsi" w:cs="Calibri"/>
          <w:color w:val="000000"/>
          <w:sz w:val="22"/>
          <w:szCs w:val="22"/>
        </w:rPr>
        <w:t xml:space="preserve"> Update the </w:t>
      </w:r>
      <w:r w:rsidR="00C76CDF" w:rsidRPr="004830DF">
        <w:rPr>
          <w:rFonts w:asciiTheme="minorHAnsi" w:eastAsia="Calibri" w:hAnsiTheme="minorHAnsi" w:cs="Calibri"/>
          <w:color w:val="000000"/>
          <w:sz w:val="22"/>
          <w:szCs w:val="22"/>
        </w:rPr>
        <w:t>Faculty Activity Report (</w:t>
      </w:r>
      <w:r w:rsidRPr="004830DF">
        <w:rPr>
          <w:rFonts w:asciiTheme="minorHAnsi" w:eastAsia="Calibri" w:hAnsiTheme="minorHAnsi" w:cs="Calibri"/>
          <w:color w:val="000000"/>
          <w:sz w:val="22"/>
          <w:szCs w:val="22"/>
        </w:rPr>
        <w:t>FAR</w:t>
      </w:r>
      <w:r w:rsidR="00C76CDF" w:rsidRPr="004830DF">
        <w:rPr>
          <w:rFonts w:asciiTheme="minorHAnsi" w:eastAsia="Calibri" w:hAnsiTheme="minorHAnsi" w:cs="Calibri"/>
          <w:color w:val="000000"/>
          <w:sz w:val="22"/>
          <w:szCs w:val="22"/>
        </w:rPr>
        <w:t>)</w:t>
      </w:r>
      <w:r w:rsidRPr="004830DF">
        <w:rPr>
          <w:rFonts w:asciiTheme="minorHAnsi" w:eastAsia="Calibri" w:hAnsiTheme="minorHAnsi" w:cs="Calibri"/>
          <w:color w:val="000000"/>
          <w:sz w:val="22"/>
          <w:szCs w:val="22"/>
        </w:rPr>
        <w:t xml:space="preserve"> so that the teaching section allows faculty to document their use of evidence-based teaching and encourage departments to include the use of evidence-based teaching methods in their merit policies.</w:t>
      </w:r>
    </w:p>
    <w:p w14:paraId="5DFF8041" w14:textId="5AF26055" w:rsidR="00656AE2" w:rsidRPr="004830DF" w:rsidRDefault="00656AE2"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520312BB" w14:textId="7874DC9C" w:rsidR="00656AE2" w:rsidRPr="004830DF" w:rsidRDefault="00656AE2"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themeColor="text1"/>
          <w:sz w:val="22"/>
          <w:szCs w:val="22"/>
        </w:rPr>
        <w:t>Explanation: Part of valuing evidence-based teaching includes providing faculty the opportunity to document the time and effort they invest in it and the returns such investments yield so that these may be considered alongside other time obligations for the purposes of tenure, promotion, and merit.</w:t>
      </w:r>
    </w:p>
    <w:p w14:paraId="0A8E8F6E" w14:textId="77777777" w:rsidR="00B53C51" w:rsidRPr="004830DF" w:rsidRDefault="00B53C51" w:rsidP="004830DF">
      <w:pPr>
        <w:pStyle w:val="NormalWeb"/>
        <w:spacing w:before="0" w:beforeAutospacing="0" w:after="0" w:afterAutospacing="0"/>
        <w:rPr>
          <w:rFonts w:asciiTheme="minorHAnsi" w:hAnsiTheme="minorHAnsi"/>
          <w:sz w:val="22"/>
          <w:szCs w:val="22"/>
        </w:rPr>
      </w:pPr>
    </w:p>
    <w:p w14:paraId="35C2D424" w14:textId="48C22E4D" w:rsidR="004B2173" w:rsidRPr="004830DF" w:rsidRDefault="00B53C51" w:rsidP="004830DF">
      <w:pPr>
        <w:pStyle w:val="NormalWeb"/>
        <w:spacing w:before="0" w:beforeAutospacing="0" w:after="0" w:afterAutospacing="0"/>
        <w:ind w:left="720"/>
        <w:rPr>
          <w:rFonts w:asciiTheme="minorHAnsi" w:eastAsia="Calibri" w:hAnsiTheme="minorHAnsi" w:cs="Calibri"/>
          <w:sz w:val="22"/>
          <w:szCs w:val="22"/>
        </w:rPr>
      </w:pPr>
      <w:r w:rsidRPr="004830DF">
        <w:rPr>
          <w:rFonts w:asciiTheme="minorHAnsi" w:eastAsia="Calibri" w:hAnsiTheme="minorHAnsi" w:cs="Calibri"/>
          <w:b/>
          <w:bCs/>
          <w:sz w:val="22"/>
          <w:szCs w:val="22"/>
          <w:u w:val="single"/>
        </w:rPr>
        <w:t>Action Step #3:</w:t>
      </w:r>
      <w:r w:rsidRPr="004830DF">
        <w:rPr>
          <w:rFonts w:asciiTheme="minorHAnsi" w:eastAsia="Calibri" w:hAnsiTheme="minorHAnsi" w:cs="Calibri"/>
          <w:sz w:val="22"/>
          <w:szCs w:val="22"/>
        </w:rPr>
        <w:t xml:space="preserve"> Support mentored </w:t>
      </w:r>
      <w:r w:rsidR="00F96006" w:rsidRPr="004830DF">
        <w:rPr>
          <w:rFonts w:asciiTheme="minorHAnsi" w:eastAsia="Calibri" w:hAnsiTheme="minorHAnsi" w:cs="Calibri"/>
          <w:sz w:val="22"/>
          <w:szCs w:val="22"/>
        </w:rPr>
        <w:t xml:space="preserve">undergraduate </w:t>
      </w:r>
      <w:r w:rsidRPr="004830DF">
        <w:rPr>
          <w:rFonts w:asciiTheme="minorHAnsi" w:eastAsia="Calibri" w:hAnsiTheme="minorHAnsi" w:cs="Calibri"/>
          <w:sz w:val="22"/>
          <w:szCs w:val="22"/>
        </w:rPr>
        <w:t>research.</w:t>
      </w:r>
      <w:r w:rsidRPr="004830DF">
        <w:rPr>
          <w:rStyle w:val="FootnoteReference"/>
          <w:rFonts w:asciiTheme="minorHAnsi" w:eastAsia="Calibri" w:hAnsiTheme="minorHAnsi" w:cs="Calibri"/>
          <w:sz w:val="22"/>
          <w:szCs w:val="22"/>
        </w:rPr>
        <w:footnoteReference w:id="5"/>
      </w:r>
    </w:p>
    <w:p w14:paraId="53E614B0" w14:textId="77777777" w:rsidR="00656AE2" w:rsidRPr="004830DF" w:rsidRDefault="00656AE2" w:rsidP="004830DF">
      <w:pPr>
        <w:pStyle w:val="NormalWeb"/>
        <w:spacing w:before="0" w:beforeAutospacing="0" w:after="0" w:afterAutospacing="0"/>
        <w:ind w:left="720"/>
        <w:rPr>
          <w:rFonts w:asciiTheme="minorHAnsi" w:eastAsia="Calibri" w:hAnsiTheme="minorHAnsi" w:cs="Calibri"/>
          <w:sz w:val="22"/>
          <w:szCs w:val="22"/>
        </w:rPr>
      </w:pPr>
    </w:p>
    <w:p w14:paraId="0E5148FD" w14:textId="327BDB3F" w:rsidR="004B2173" w:rsidRPr="004830DF" w:rsidRDefault="00656AE2" w:rsidP="004830DF">
      <w:pPr>
        <w:pStyle w:val="NormalWeb"/>
        <w:spacing w:before="0" w:beforeAutospacing="0" w:after="0" w:afterAutospacing="0"/>
        <w:ind w:left="720"/>
        <w:rPr>
          <w:rFonts w:asciiTheme="minorHAnsi" w:eastAsia="Calibri" w:hAnsiTheme="minorHAnsi" w:cs="Calibri"/>
          <w:sz w:val="22"/>
          <w:szCs w:val="22"/>
        </w:rPr>
      </w:pPr>
      <w:r w:rsidRPr="00A30A75">
        <w:rPr>
          <w:rFonts w:asciiTheme="minorHAnsi" w:eastAsia="Calibri" w:hAnsiTheme="minorHAnsi" w:cs="Calibri"/>
          <w:sz w:val="22"/>
          <w:szCs w:val="22"/>
        </w:rPr>
        <w:t>Purpose:</w:t>
      </w:r>
      <w:r w:rsidRPr="004830DF">
        <w:rPr>
          <w:rFonts w:asciiTheme="minorHAnsi" w:eastAsia="Calibri" w:hAnsiTheme="minorHAnsi" w:cs="Calibri"/>
          <w:sz w:val="22"/>
          <w:szCs w:val="22"/>
        </w:rPr>
        <w:t xml:space="preserve"> </w:t>
      </w:r>
      <w:r w:rsidR="00A71E23">
        <w:rPr>
          <w:rFonts w:asciiTheme="minorHAnsi" w:eastAsia="Calibri" w:hAnsiTheme="minorHAnsi" w:cs="Calibri"/>
          <w:sz w:val="22"/>
          <w:szCs w:val="22"/>
        </w:rPr>
        <w:t>Mentored undergraduate research can be a transformative experience for our students, providing them opportunities to deepen their thinking on a topic, to apply their learning, and to engage with faculty members with discipline-specific expertise who are committed to guiding students through the research process. Mentored research opportunities create more well-rounded and polished students and provide students with experiences that improve their critical thinking and make them more competitive on the job market. Accordingly, our institution should dedicate appropriate resources to supporting such endeavors.</w:t>
      </w:r>
    </w:p>
    <w:p w14:paraId="1D842899" w14:textId="7464570B" w:rsidR="004548AD" w:rsidRPr="004830DF" w:rsidRDefault="004548AD" w:rsidP="004830DF">
      <w:pPr>
        <w:pStyle w:val="NormalWeb"/>
        <w:spacing w:before="0" w:beforeAutospacing="0" w:after="0" w:afterAutospacing="0"/>
        <w:ind w:left="720"/>
        <w:rPr>
          <w:rFonts w:asciiTheme="minorHAnsi" w:eastAsia="Calibri" w:hAnsiTheme="minorHAnsi" w:cs="Calibri"/>
          <w:sz w:val="22"/>
          <w:szCs w:val="22"/>
        </w:rPr>
      </w:pPr>
    </w:p>
    <w:p w14:paraId="7A1646CD" w14:textId="7D160BCF" w:rsidR="00323137"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sz w:val="22"/>
          <w:szCs w:val="22"/>
          <w:u w:val="single"/>
        </w:rPr>
        <w:t>Task #1:</w:t>
      </w:r>
      <w:r w:rsidRPr="004830DF">
        <w:rPr>
          <w:rFonts w:asciiTheme="minorHAnsi" w:eastAsia="Calibri" w:hAnsiTheme="minorHAnsi" w:cs="Calibri"/>
          <w:sz w:val="22"/>
          <w:szCs w:val="22"/>
        </w:rPr>
        <w:t xml:space="preserve"> </w:t>
      </w:r>
      <w:r w:rsidR="00323137" w:rsidRPr="004830DF">
        <w:rPr>
          <w:rFonts w:asciiTheme="minorHAnsi" w:eastAsia="Calibri" w:hAnsiTheme="minorHAnsi" w:cs="Calibri"/>
          <w:color w:val="000000"/>
          <w:sz w:val="22"/>
          <w:szCs w:val="22"/>
        </w:rPr>
        <w:t xml:space="preserve">Appoint a faculty member with at least .5 FTE </w:t>
      </w:r>
      <w:r w:rsidR="6CBAB007" w:rsidRPr="004830DF">
        <w:rPr>
          <w:rFonts w:asciiTheme="minorHAnsi" w:eastAsia="Calibri" w:hAnsiTheme="minorHAnsi" w:cs="Calibri"/>
          <w:color w:val="000000"/>
          <w:sz w:val="22"/>
          <w:szCs w:val="22"/>
        </w:rPr>
        <w:t>r</w:t>
      </w:r>
      <w:r w:rsidR="00323137" w:rsidRPr="004830DF">
        <w:rPr>
          <w:rFonts w:asciiTheme="minorHAnsi" w:eastAsia="Calibri" w:hAnsiTheme="minorHAnsi" w:cs="Calibri"/>
          <w:color w:val="000000"/>
          <w:sz w:val="22"/>
          <w:szCs w:val="22"/>
        </w:rPr>
        <w:t xml:space="preserve">elease to </w:t>
      </w:r>
      <w:r w:rsidR="00FC4418" w:rsidRPr="004830DF">
        <w:rPr>
          <w:rFonts w:asciiTheme="minorHAnsi" w:eastAsia="Calibri" w:hAnsiTheme="minorHAnsi" w:cs="Calibri"/>
          <w:color w:val="000000" w:themeColor="text1"/>
          <w:sz w:val="22"/>
          <w:szCs w:val="22"/>
        </w:rPr>
        <w:t xml:space="preserve">advocate for support of </w:t>
      </w:r>
      <w:r w:rsidR="00656AE2" w:rsidRPr="004830DF">
        <w:rPr>
          <w:rFonts w:asciiTheme="minorHAnsi" w:eastAsia="Calibri" w:hAnsiTheme="minorHAnsi" w:cs="Calibri"/>
          <w:color w:val="000000" w:themeColor="text1"/>
          <w:sz w:val="22"/>
          <w:szCs w:val="22"/>
        </w:rPr>
        <w:t>undergraduate student research</w:t>
      </w:r>
      <w:r w:rsidR="00656AE2" w:rsidRPr="004830DF" w:rsidDel="00656AE2">
        <w:rPr>
          <w:rFonts w:asciiTheme="minorHAnsi" w:eastAsia="Calibri" w:hAnsiTheme="minorHAnsi" w:cs="Calibri"/>
          <w:color w:val="000000" w:themeColor="text1"/>
          <w:sz w:val="22"/>
          <w:szCs w:val="22"/>
        </w:rPr>
        <w:t xml:space="preserve"> </w:t>
      </w:r>
      <w:r w:rsidR="1E396338" w:rsidRPr="004830DF">
        <w:rPr>
          <w:rFonts w:asciiTheme="minorHAnsi" w:eastAsia="Calibri" w:hAnsiTheme="minorHAnsi" w:cs="Calibri"/>
          <w:color w:val="000000" w:themeColor="text1"/>
          <w:sz w:val="22"/>
          <w:szCs w:val="22"/>
        </w:rPr>
        <w:t>efforts across campus.</w:t>
      </w:r>
    </w:p>
    <w:p w14:paraId="13C07A8B" w14:textId="6EF76584" w:rsidR="004C3399" w:rsidRPr="004830DF" w:rsidRDefault="00323137" w:rsidP="004830DF">
      <w:pPr>
        <w:pStyle w:val="NormalWeb"/>
        <w:spacing w:before="0" w:beforeAutospacing="0" w:after="0" w:afterAutospacing="0"/>
        <w:ind w:left="1440"/>
        <w:rPr>
          <w:rFonts w:asciiTheme="minorHAnsi" w:hAnsiTheme="minorHAnsi"/>
          <w:color w:val="000000"/>
          <w:sz w:val="22"/>
          <w:szCs w:val="22"/>
        </w:rPr>
      </w:pPr>
      <w:r w:rsidRPr="004830DF" w:rsidDel="00323137">
        <w:rPr>
          <w:rFonts w:asciiTheme="minorHAnsi" w:eastAsia="Calibri" w:hAnsiTheme="minorHAnsi" w:cs="Calibri"/>
          <w:color w:val="000000"/>
          <w:sz w:val="22"/>
          <w:szCs w:val="22"/>
        </w:rPr>
        <w:t xml:space="preserve"> </w:t>
      </w:r>
    </w:p>
    <w:p w14:paraId="5A29DE2B" w14:textId="46C9BE67"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r w:rsidR="00FC4418" w:rsidRPr="004830DF">
        <w:rPr>
          <w:rFonts w:asciiTheme="minorHAnsi" w:eastAsia="Calibri" w:hAnsiTheme="minorHAnsi" w:cs="Calibri"/>
          <w:color w:val="000000"/>
          <w:sz w:val="22"/>
          <w:szCs w:val="22"/>
        </w:rPr>
        <w:t xml:space="preserve">Because undergraduate research takes place in pockets across campus and thus individual students and mentor faculty are largely responsible for securing support for their own efforts, </w:t>
      </w:r>
      <w:r w:rsidR="37342430" w:rsidRPr="004830DF">
        <w:rPr>
          <w:rFonts w:asciiTheme="minorHAnsi" w:eastAsia="Calibri" w:hAnsiTheme="minorHAnsi" w:cs="Calibri"/>
          <w:color w:val="000000"/>
          <w:sz w:val="22"/>
          <w:szCs w:val="22"/>
        </w:rPr>
        <w:t>there should be a single individual to champion th</w:t>
      </w:r>
      <w:r w:rsidR="2E8A776A" w:rsidRPr="004830DF">
        <w:rPr>
          <w:rFonts w:asciiTheme="minorHAnsi" w:eastAsia="Calibri" w:hAnsiTheme="minorHAnsi" w:cs="Calibri"/>
          <w:color w:val="000000" w:themeColor="text1"/>
          <w:sz w:val="22"/>
          <w:szCs w:val="22"/>
        </w:rPr>
        <w:t>e cause of undergraduate research</w:t>
      </w:r>
      <w:r w:rsidR="399FC7E8" w:rsidRPr="004830DF">
        <w:rPr>
          <w:rFonts w:asciiTheme="minorHAnsi" w:eastAsia="Calibri" w:hAnsiTheme="minorHAnsi" w:cs="Calibri"/>
          <w:color w:val="000000" w:themeColor="text1"/>
          <w:sz w:val="22"/>
          <w:szCs w:val="22"/>
        </w:rPr>
        <w:t xml:space="preserve">. </w:t>
      </w:r>
      <w:r w:rsidR="00FC4418" w:rsidRPr="004830DF">
        <w:rPr>
          <w:rFonts w:asciiTheme="minorHAnsi" w:eastAsia="Calibri" w:hAnsiTheme="minorHAnsi" w:cs="Calibri"/>
          <w:color w:val="000000" w:themeColor="text1"/>
          <w:sz w:val="22"/>
          <w:szCs w:val="22"/>
        </w:rPr>
        <w:t>Because the university is dedicated to transformative student experiences, w</w:t>
      </w:r>
      <w:r w:rsidR="6E931CAD" w:rsidRPr="004830DF">
        <w:rPr>
          <w:rFonts w:asciiTheme="minorHAnsi" w:eastAsia="Calibri" w:hAnsiTheme="minorHAnsi" w:cs="Calibri"/>
          <w:color w:val="000000"/>
          <w:sz w:val="22"/>
          <w:szCs w:val="22"/>
        </w:rPr>
        <w:t>e would prefer to see</w:t>
      </w:r>
      <w:r w:rsidR="56297130" w:rsidRPr="004830DF">
        <w:rPr>
          <w:rFonts w:asciiTheme="minorHAnsi" w:eastAsia="Calibri" w:hAnsiTheme="minorHAnsi" w:cs="Calibri"/>
          <w:color w:val="000000"/>
          <w:sz w:val="22"/>
          <w:szCs w:val="22"/>
        </w:rPr>
        <w:t xml:space="preserve"> </w:t>
      </w:r>
      <w:r w:rsidR="00FC4418" w:rsidRPr="004830DF">
        <w:rPr>
          <w:rFonts w:asciiTheme="minorHAnsi" w:eastAsia="Calibri" w:hAnsiTheme="minorHAnsi" w:cs="Calibri"/>
          <w:color w:val="000000"/>
          <w:sz w:val="22"/>
          <w:szCs w:val="22"/>
        </w:rPr>
        <w:t>any available funds that can be dedicated to supporting mentored undergraduate research be</w:t>
      </w:r>
      <w:r w:rsidR="56297130" w:rsidRPr="004830DF">
        <w:rPr>
          <w:rFonts w:asciiTheme="minorHAnsi" w:eastAsia="Calibri" w:hAnsiTheme="minorHAnsi" w:cs="Calibri"/>
          <w:color w:val="000000"/>
          <w:sz w:val="22"/>
          <w:szCs w:val="22"/>
        </w:rPr>
        <w:t xml:space="preserve"> devoted to </w:t>
      </w:r>
      <w:r w:rsidR="00FC4418" w:rsidRPr="004830DF">
        <w:rPr>
          <w:rFonts w:asciiTheme="minorHAnsi" w:eastAsia="Calibri" w:hAnsiTheme="minorHAnsi" w:cs="Calibri"/>
          <w:color w:val="000000"/>
          <w:sz w:val="22"/>
          <w:szCs w:val="22"/>
        </w:rPr>
        <w:t xml:space="preserve">funding </w:t>
      </w:r>
      <w:r w:rsidR="56297130" w:rsidRPr="004830DF">
        <w:rPr>
          <w:rFonts w:asciiTheme="minorHAnsi" w:eastAsia="Calibri" w:hAnsiTheme="minorHAnsi" w:cs="Calibri"/>
          <w:color w:val="000000"/>
          <w:sz w:val="22"/>
          <w:szCs w:val="22"/>
        </w:rPr>
        <w:t>research</w:t>
      </w:r>
      <w:r w:rsidR="00FC4418" w:rsidRPr="004830DF">
        <w:rPr>
          <w:rFonts w:asciiTheme="minorHAnsi" w:eastAsia="Calibri" w:hAnsiTheme="minorHAnsi" w:cs="Calibri"/>
          <w:color w:val="000000"/>
          <w:sz w:val="22"/>
          <w:szCs w:val="22"/>
        </w:rPr>
        <w:t xml:space="preserve"> projects and researchers</w:t>
      </w:r>
      <w:r w:rsidR="56297130" w:rsidRPr="004830DF">
        <w:rPr>
          <w:rFonts w:asciiTheme="minorHAnsi" w:eastAsia="Calibri" w:hAnsiTheme="minorHAnsi" w:cs="Calibri"/>
          <w:color w:val="000000"/>
          <w:sz w:val="22"/>
          <w:szCs w:val="22"/>
        </w:rPr>
        <w:t xml:space="preserve"> rather than </w:t>
      </w:r>
      <w:r w:rsidR="00FC4418" w:rsidRPr="004830DF">
        <w:rPr>
          <w:rFonts w:asciiTheme="minorHAnsi" w:eastAsia="Calibri" w:hAnsiTheme="minorHAnsi" w:cs="Calibri"/>
          <w:color w:val="000000"/>
          <w:sz w:val="22"/>
          <w:szCs w:val="22"/>
        </w:rPr>
        <w:t xml:space="preserve">to </w:t>
      </w:r>
      <w:r w:rsidR="56297130" w:rsidRPr="004830DF">
        <w:rPr>
          <w:rFonts w:asciiTheme="minorHAnsi" w:eastAsia="Calibri" w:hAnsiTheme="minorHAnsi" w:cs="Calibri"/>
          <w:color w:val="000000"/>
          <w:sz w:val="22"/>
          <w:szCs w:val="22"/>
        </w:rPr>
        <w:t>administrative over</w:t>
      </w:r>
      <w:r w:rsidR="2E8A776A" w:rsidRPr="004830DF">
        <w:rPr>
          <w:rFonts w:asciiTheme="minorHAnsi" w:eastAsia="Calibri" w:hAnsiTheme="minorHAnsi" w:cs="Calibri"/>
          <w:color w:val="000000"/>
          <w:sz w:val="22"/>
          <w:szCs w:val="22"/>
        </w:rPr>
        <w:t>sight</w:t>
      </w:r>
      <w:r w:rsidR="27CCFE40" w:rsidRPr="004830DF">
        <w:rPr>
          <w:rFonts w:asciiTheme="minorHAnsi" w:eastAsia="Calibri" w:hAnsiTheme="minorHAnsi" w:cs="Calibri"/>
          <w:color w:val="000000"/>
          <w:sz w:val="22"/>
          <w:szCs w:val="22"/>
        </w:rPr>
        <w:t>.</w:t>
      </w:r>
    </w:p>
    <w:p w14:paraId="133CEFE4" w14:textId="77777777" w:rsidR="004C3399" w:rsidRPr="004830DF" w:rsidRDefault="004C3399" w:rsidP="004830DF">
      <w:pPr>
        <w:pStyle w:val="NormalWeb"/>
        <w:spacing w:before="0" w:beforeAutospacing="0" w:after="0" w:afterAutospacing="0"/>
        <w:ind w:left="1440"/>
        <w:rPr>
          <w:rFonts w:asciiTheme="minorHAnsi" w:hAnsiTheme="minorHAnsi"/>
          <w:color w:val="000000"/>
          <w:sz w:val="22"/>
          <w:szCs w:val="22"/>
        </w:rPr>
      </w:pPr>
    </w:p>
    <w:p w14:paraId="23CBB042" w14:textId="0A5BC928"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399FC7E8" w:rsidRPr="004830DF">
        <w:rPr>
          <w:rFonts w:asciiTheme="minorHAnsi" w:eastAsia="Calibri" w:hAnsiTheme="minorHAnsi" w:cs="Calibri"/>
          <w:color w:val="000000"/>
          <w:sz w:val="22"/>
          <w:szCs w:val="22"/>
        </w:rPr>
        <w:t xml:space="preserve">At least a </w:t>
      </w:r>
      <w:r w:rsidR="74BEADC0" w:rsidRPr="004830DF">
        <w:rPr>
          <w:rFonts w:asciiTheme="minorHAnsi" w:eastAsia="Calibri" w:hAnsiTheme="minorHAnsi" w:cs="Calibri"/>
          <w:color w:val="000000"/>
          <w:sz w:val="22"/>
          <w:szCs w:val="22"/>
        </w:rPr>
        <w:t xml:space="preserve">.5 FTE release </w:t>
      </w:r>
      <w:r w:rsidR="694EEE86" w:rsidRPr="004830DF">
        <w:rPr>
          <w:rFonts w:asciiTheme="minorHAnsi" w:eastAsia="Calibri" w:hAnsiTheme="minorHAnsi" w:cs="Calibri"/>
          <w:color w:val="000000"/>
          <w:sz w:val="22"/>
          <w:szCs w:val="22"/>
        </w:rPr>
        <w:t xml:space="preserve">with the ability to </w:t>
      </w:r>
      <w:r w:rsidR="00FC4418" w:rsidRPr="004830DF">
        <w:rPr>
          <w:rFonts w:asciiTheme="minorHAnsi" w:eastAsia="Calibri" w:hAnsiTheme="minorHAnsi" w:cs="Calibri"/>
          <w:color w:val="000000"/>
          <w:sz w:val="22"/>
          <w:szCs w:val="22"/>
        </w:rPr>
        <w:t>increase release</w:t>
      </w:r>
      <w:r w:rsidR="694EEE86" w:rsidRPr="004830DF">
        <w:rPr>
          <w:rFonts w:asciiTheme="minorHAnsi" w:eastAsia="Calibri" w:hAnsiTheme="minorHAnsi" w:cs="Calibri"/>
          <w:color w:val="000000"/>
          <w:sz w:val="22"/>
          <w:szCs w:val="22"/>
        </w:rPr>
        <w:t xml:space="preserve"> as needed.</w:t>
      </w:r>
    </w:p>
    <w:p w14:paraId="583590D1" w14:textId="77777777" w:rsidR="004C3399" w:rsidRPr="004830DF" w:rsidRDefault="004C3399" w:rsidP="004830DF">
      <w:pPr>
        <w:pStyle w:val="NormalWeb"/>
        <w:spacing w:before="0" w:beforeAutospacing="0" w:after="0" w:afterAutospacing="0"/>
        <w:ind w:left="1440"/>
        <w:rPr>
          <w:rFonts w:asciiTheme="minorHAnsi" w:hAnsiTheme="minorHAnsi"/>
          <w:color w:val="000000"/>
          <w:sz w:val="22"/>
          <w:szCs w:val="22"/>
        </w:rPr>
      </w:pPr>
    </w:p>
    <w:p w14:paraId="1A018EA6" w14:textId="6DF538C4"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00FC4418" w:rsidRPr="004830DF">
        <w:rPr>
          <w:rFonts w:asciiTheme="minorHAnsi" w:eastAsia="Calibri" w:hAnsiTheme="minorHAnsi" w:cs="Calibri"/>
          <w:color w:val="000000"/>
          <w:sz w:val="22"/>
          <w:szCs w:val="22"/>
        </w:rPr>
        <w:t>Faculty advocate selected for and beginning duties</w:t>
      </w:r>
      <w:r w:rsidR="232E16FC" w:rsidRPr="004830DF">
        <w:rPr>
          <w:rFonts w:asciiTheme="minorHAnsi" w:eastAsia="Calibri" w:hAnsiTheme="minorHAnsi" w:cs="Calibri"/>
          <w:color w:val="000000"/>
          <w:sz w:val="22"/>
          <w:szCs w:val="22"/>
        </w:rPr>
        <w:t xml:space="preserve"> by </w:t>
      </w:r>
      <w:proofErr w:type="gramStart"/>
      <w:r w:rsidR="1324569E" w:rsidRPr="004830DF">
        <w:rPr>
          <w:rFonts w:asciiTheme="minorHAnsi" w:eastAsia="Calibri" w:hAnsiTheme="minorHAnsi" w:cs="Calibri"/>
          <w:color w:val="000000"/>
          <w:sz w:val="22"/>
          <w:szCs w:val="22"/>
        </w:rPr>
        <w:t>Spring</w:t>
      </w:r>
      <w:proofErr w:type="gramEnd"/>
      <w:r w:rsidR="1324569E" w:rsidRPr="004830DF">
        <w:rPr>
          <w:rFonts w:asciiTheme="minorHAnsi" w:eastAsia="Calibri" w:hAnsiTheme="minorHAnsi" w:cs="Calibri"/>
          <w:color w:val="000000"/>
          <w:sz w:val="22"/>
          <w:szCs w:val="22"/>
        </w:rPr>
        <w:t xml:space="preserve"> 2018 </w:t>
      </w:r>
    </w:p>
    <w:p w14:paraId="48CA3F49" w14:textId="77777777" w:rsidR="004C3399" w:rsidRPr="004830DF" w:rsidRDefault="004C3399" w:rsidP="004830DF">
      <w:pPr>
        <w:pStyle w:val="NormalWeb"/>
        <w:spacing w:before="0" w:beforeAutospacing="0" w:after="0" w:afterAutospacing="0"/>
        <w:ind w:left="1440"/>
        <w:rPr>
          <w:rFonts w:asciiTheme="minorHAnsi" w:hAnsiTheme="minorHAnsi"/>
          <w:color w:val="000000"/>
          <w:sz w:val="22"/>
          <w:szCs w:val="22"/>
        </w:rPr>
      </w:pPr>
    </w:p>
    <w:p w14:paraId="769BB8D6" w14:textId="0D8053EC"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w:t>
      </w:r>
      <w:r w:rsidR="00FC4418" w:rsidRPr="004830DF">
        <w:rPr>
          <w:rFonts w:asciiTheme="minorHAnsi" w:eastAsia="Calibri" w:hAnsiTheme="minorHAnsi" w:cs="Calibri"/>
          <w:color w:val="000000"/>
          <w:sz w:val="22"/>
          <w:szCs w:val="22"/>
        </w:rPr>
        <w:t xml:space="preserve">Each semester, the faculty advocate will </w:t>
      </w:r>
      <w:r w:rsidR="425EE1E3" w:rsidRPr="004830DF">
        <w:rPr>
          <w:rFonts w:asciiTheme="minorHAnsi" w:eastAsia="Calibri" w:hAnsiTheme="minorHAnsi" w:cs="Calibri"/>
          <w:color w:val="000000"/>
          <w:sz w:val="22"/>
          <w:szCs w:val="22"/>
        </w:rPr>
        <w:t>active</w:t>
      </w:r>
      <w:r w:rsidR="00FC4418" w:rsidRPr="004830DF">
        <w:rPr>
          <w:rFonts w:asciiTheme="minorHAnsi" w:eastAsia="Calibri" w:hAnsiTheme="minorHAnsi" w:cs="Calibri"/>
          <w:color w:val="000000"/>
          <w:sz w:val="22"/>
          <w:szCs w:val="22"/>
        </w:rPr>
        <w:t>ly</w:t>
      </w:r>
      <w:r w:rsidR="425EE1E3" w:rsidRPr="004830DF">
        <w:rPr>
          <w:rFonts w:asciiTheme="minorHAnsi" w:eastAsia="Calibri" w:hAnsiTheme="minorHAnsi" w:cs="Calibri"/>
          <w:color w:val="000000"/>
          <w:sz w:val="22"/>
          <w:szCs w:val="22"/>
        </w:rPr>
        <w:t xml:space="preserve"> manage funds</w:t>
      </w:r>
      <w:r w:rsidR="00FC4418" w:rsidRPr="004830DF">
        <w:rPr>
          <w:rFonts w:asciiTheme="minorHAnsi" w:eastAsia="Calibri" w:hAnsiTheme="minorHAnsi" w:cs="Calibri"/>
          <w:color w:val="000000"/>
          <w:sz w:val="22"/>
          <w:szCs w:val="22"/>
        </w:rPr>
        <w:t xml:space="preserve"> </w:t>
      </w:r>
      <w:r w:rsidR="425EE1E3" w:rsidRPr="004830DF">
        <w:rPr>
          <w:rFonts w:asciiTheme="minorHAnsi" w:eastAsia="Calibri" w:hAnsiTheme="minorHAnsi" w:cs="Calibri"/>
          <w:color w:val="000000"/>
          <w:sz w:val="22"/>
          <w:szCs w:val="22"/>
        </w:rPr>
        <w:t xml:space="preserve">and </w:t>
      </w:r>
      <w:r w:rsidR="3861DA71" w:rsidRPr="004830DF">
        <w:rPr>
          <w:rFonts w:asciiTheme="minorHAnsi" w:eastAsia="Calibri" w:hAnsiTheme="minorHAnsi" w:cs="Calibri"/>
          <w:color w:val="000000"/>
          <w:sz w:val="22"/>
          <w:szCs w:val="22"/>
        </w:rPr>
        <w:t>programs</w:t>
      </w:r>
      <w:r w:rsidR="00FC4418" w:rsidRPr="004830DF">
        <w:rPr>
          <w:rFonts w:asciiTheme="minorHAnsi" w:eastAsia="Calibri" w:hAnsiTheme="minorHAnsi" w:cs="Calibri"/>
          <w:color w:val="000000"/>
          <w:sz w:val="22"/>
          <w:szCs w:val="22"/>
        </w:rPr>
        <w:t xml:space="preserve"> that support mentored undergraduate research</w:t>
      </w:r>
      <w:r w:rsidR="3861DA71" w:rsidRPr="004830DF">
        <w:rPr>
          <w:rFonts w:asciiTheme="minorHAnsi" w:eastAsia="Calibri" w:hAnsiTheme="minorHAnsi" w:cs="Calibri"/>
          <w:color w:val="000000"/>
          <w:sz w:val="22"/>
          <w:szCs w:val="22"/>
        </w:rPr>
        <w:t>, seek growth</w:t>
      </w:r>
      <w:r w:rsidR="00FC4418" w:rsidRPr="004830DF">
        <w:rPr>
          <w:rFonts w:asciiTheme="minorHAnsi" w:eastAsia="Calibri" w:hAnsiTheme="minorHAnsi" w:cs="Calibri"/>
          <w:color w:val="000000"/>
          <w:sz w:val="22"/>
          <w:szCs w:val="22"/>
        </w:rPr>
        <w:t xml:space="preserve"> of funding</w:t>
      </w:r>
      <w:r w:rsidR="3861DA71" w:rsidRPr="004830DF">
        <w:rPr>
          <w:rFonts w:asciiTheme="minorHAnsi" w:eastAsia="Calibri" w:hAnsiTheme="minorHAnsi" w:cs="Calibri"/>
          <w:color w:val="000000"/>
          <w:sz w:val="22"/>
          <w:szCs w:val="22"/>
        </w:rPr>
        <w:t xml:space="preserve"> and partnerships</w:t>
      </w:r>
      <w:r w:rsidR="00FC4418" w:rsidRPr="004830DF">
        <w:rPr>
          <w:rFonts w:asciiTheme="minorHAnsi" w:eastAsia="Calibri" w:hAnsiTheme="minorHAnsi" w:cs="Calibri"/>
          <w:color w:val="000000"/>
          <w:sz w:val="22"/>
          <w:szCs w:val="22"/>
        </w:rPr>
        <w:t>,</w:t>
      </w:r>
      <w:r w:rsidR="3861DA71" w:rsidRPr="004830DF">
        <w:rPr>
          <w:rFonts w:asciiTheme="minorHAnsi" w:eastAsia="Calibri" w:hAnsiTheme="minorHAnsi" w:cs="Calibri"/>
          <w:color w:val="000000"/>
          <w:sz w:val="22"/>
          <w:szCs w:val="22"/>
        </w:rPr>
        <w:t xml:space="preserve"> </w:t>
      </w:r>
      <w:r w:rsidR="00FC4418" w:rsidRPr="004830DF">
        <w:rPr>
          <w:rFonts w:asciiTheme="minorHAnsi" w:eastAsia="Calibri" w:hAnsiTheme="minorHAnsi" w:cs="Calibri"/>
          <w:color w:val="000000"/>
          <w:sz w:val="22"/>
          <w:szCs w:val="22"/>
        </w:rPr>
        <w:t>and e</w:t>
      </w:r>
      <w:r w:rsidR="77C2B62A" w:rsidRPr="004830DF">
        <w:rPr>
          <w:rFonts w:asciiTheme="minorHAnsi" w:eastAsia="Calibri" w:hAnsiTheme="minorHAnsi" w:cs="Calibri"/>
          <w:color w:val="000000"/>
          <w:sz w:val="22"/>
          <w:szCs w:val="22"/>
        </w:rPr>
        <w:t>valuate</w:t>
      </w:r>
      <w:r w:rsidR="00FC4418" w:rsidRPr="004830DF">
        <w:rPr>
          <w:rFonts w:asciiTheme="minorHAnsi" w:eastAsia="Calibri" w:hAnsiTheme="minorHAnsi" w:cs="Calibri"/>
          <w:color w:val="000000"/>
          <w:sz w:val="22"/>
          <w:szCs w:val="22"/>
        </w:rPr>
        <w:t xml:space="preserve"> the</w:t>
      </w:r>
      <w:r w:rsidR="77C2B62A" w:rsidRPr="004830DF">
        <w:rPr>
          <w:rFonts w:asciiTheme="minorHAnsi" w:eastAsia="Calibri" w:hAnsiTheme="minorHAnsi" w:cs="Calibri"/>
          <w:color w:val="000000"/>
          <w:sz w:val="22"/>
          <w:szCs w:val="22"/>
        </w:rPr>
        <w:t xml:space="preserve"> </w:t>
      </w:r>
      <w:r w:rsidR="1BE75002" w:rsidRPr="004830DF">
        <w:rPr>
          <w:rFonts w:asciiTheme="minorHAnsi" w:eastAsia="Calibri" w:hAnsiTheme="minorHAnsi" w:cs="Calibri"/>
          <w:color w:val="000000"/>
          <w:sz w:val="22"/>
          <w:szCs w:val="22"/>
        </w:rPr>
        <w:t xml:space="preserve">impact </w:t>
      </w:r>
      <w:r w:rsidR="00FC4418" w:rsidRPr="004830DF">
        <w:rPr>
          <w:rFonts w:asciiTheme="minorHAnsi" w:eastAsia="Calibri" w:hAnsiTheme="minorHAnsi" w:cs="Calibri"/>
          <w:color w:val="000000"/>
          <w:sz w:val="22"/>
          <w:szCs w:val="22"/>
        </w:rPr>
        <w:t xml:space="preserve">of mentored student research </w:t>
      </w:r>
      <w:r w:rsidR="1BE75002" w:rsidRPr="004830DF">
        <w:rPr>
          <w:rFonts w:asciiTheme="minorHAnsi" w:eastAsia="Calibri" w:hAnsiTheme="minorHAnsi" w:cs="Calibri"/>
          <w:color w:val="000000"/>
          <w:sz w:val="22"/>
          <w:szCs w:val="22"/>
        </w:rPr>
        <w:t xml:space="preserve">on student </w:t>
      </w:r>
      <w:r w:rsidR="4A3F1CDC" w:rsidRPr="004830DF">
        <w:rPr>
          <w:rFonts w:asciiTheme="minorHAnsi" w:eastAsia="Calibri" w:hAnsiTheme="minorHAnsi" w:cs="Calibri"/>
          <w:color w:val="000000"/>
          <w:sz w:val="22"/>
          <w:szCs w:val="22"/>
        </w:rPr>
        <w:t xml:space="preserve">outcomes, </w:t>
      </w:r>
      <w:r w:rsidR="00FC4418" w:rsidRPr="004830DF">
        <w:rPr>
          <w:rFonts w:asciiTheme="minorHAnsi" w:eastAsia="Calibri" w:hAnsiTheme="minorHAnsi" w:cs="Calibri"/>
          <w:color w:val="000000"/>
          <w:sz w:val="22"/>
          <w:szCs w:val="22"/>
        </w:rPr>
        <w:t>(</w:t>
      </w:r>
      <w:r w:rsidR="4A3F1CDC" w:rsidRPr="004830DF">
        <w:rPr>
          <w:rFonts w:asciiTheme="minorHAnsi" w:eastAsia="Calibri" w:hAnsiTheme="minorHAnsi" w:cs="Calibri"/>
          <w:color w:val="000000"/>
          <w:sz w:val="22"/>
          <w:szCs w:val="22"/>
        </w:rPr>
        <w:t>such as time to co</w:t>
      </w:r>
      <w:r w:rsidR="41C45D40" w:rsidRPr="004830DF">
        <w:rPr>
          <w:rFonts w:asciiTheme="minorHAnsi" w:eastAsia="Calibri" w:hAnsiTheme="minorHAnsi" w:cs="Calibri"/>
          <w:color w:val="000000"/>
          <w:sz w:val="22"/>
          <w:szCs w:val="22"/>
        </w:rPr>
        <w:t>mpletion, GPA</w:t>
      </w:r>
      <w:r w:rsidR="1BF3FEC8" w:rsidRPr="004830DF">
        <w:rPr>
          <w:rFonts w:asciiTheme="minorHAnsi" w:eastAsia="Calibri" w:hAnsiTheme="minorHAnsi" w:cs="Calibri"/>
          <w:color w:val="000000"/>
          <w:sz w:val="22"/>
          <w:szCs w:val="22"/>
        </w:rPr>
        <w:t xml:space="preserve">, </w:t>
      </w:r>
      <w:r w:rsidR="1BE75002" w:rsidRPr="004830DF">
        <w:rPr>
          <w:rFonts w:asciiTheme="minorHAnsi" w:eastAsia="Calibri" w:hAnsiTheme="minorHAnsi" w:cs="Calibri"/>
          <w:color w:val="000000"/>
          <w:sz w:val="22"/>
          <w:szCs w:val="22"/>
        </w:rPr>
        <w:t>attitudes</w:t>
      </w:r>
      <w:r w:rsidR="1BF3FEC8" w:rsidRPr="004830DF">
        <w:rPr>
          <w:rFonts w:asciiTheme="minorHAnsi" w:eastAsia="Calibri" w:hAnsiTheme="minorHAnsi" w:cs="Calibri"/>
          <w:color w:val="000000"/>
          <w:sz w:val="22"/>
          <w:szCs w:val="22"/>
        </w:rPr>
        <w:t>,</w:t>
      </w:r>
      <w:r w:rsidR="1BE75002" w:rsidRPr="004830DF">
        <w:rPr>
          <w:rFonts w:asciiTheme="minorHAnsi" w:eastAsia="Calibri" w:hAnsiTheme="minorHAnsi" w:cs="Calibri"/>
          <w:color w:val="000000"/>
          <w:sz w:val="22"/>
          <w:szCs w:val="22"/>
        </w:rPr>
        <w:t xml:space="preserve"> </w:t>
      </w:r>
      <w:r w:rsidR="14086E34" w:rsidRPr="004830DF">
        <w:rPr>
          <w:rFonts w:asciiTheme="minorHAnsi" w:eastAsia="Calibri" w:hAnsiTheme="minorHAnsi" w:cs="Calibri"/>
          <w:color w:val="000000"/>
          <w:sz w:val="22"/>
          <w:szCs w:val="22"/>
        </w:rPr>
        <w:t xml:space="preserve">retention, </w:t>
      </w:r>
      <w:r w:rsidR="396FD0F1" w:rsidRPr="004830DF">
        <w:rPr>
          <w:rFonts w:asciiTheme="minorHAnsi" w:eastAsia="Calibri" w:hAnsiTheme="minorHAnsi" w:cs="Calibri"/>
          <w:color w:val="000000"/>
          <w:sz w:val="22"/>
          <w:szCs w:val="22"/>
        </w:rPr>
        <w:t>and jo</w:t>
      </w:r>
      <w:r w:rsidR="3C2AC7B5" w:rsidRPr="004830DF">
        <w:rPr>
          <w:rFonts w:asciiTheme="minorHAnsi" w:eastAsia="Calibri" w:hAnsiTheme="minorHAnsi" w:cs="Calibri"/>
          <w:color w:val="000000"/>
          <w:sz w:val="22"/>
          <w:szCs w:val="22"/>
        </w:rPr>
        <w:t>b placement</w:t>
      </w:r>
      <w:r w:rsidR="00FC4418" w:rsidRPr="004830DF">
        <w:rPr>
          <w:rFonts w:asciiTheme="minorHAnsi" w:eastAsia="Calibri" w:hAnsiTheme="minorHAnsi" w:cs="Calibri"/>
          <w:color w:val="000000"/>
          <w:sz w:val="22"/>
          <w:szCs w:val="22"/>
        </w:rPr>
        <w:t>)</w:t>
      </w:r>
      <w:r w:rsidR="5FBA4336" w:rsidRPr="004830DF">
        <w:rPr>
          <w:rFonts w:asciiTheme="minorHAnsi" w:eastAsia="Calibri" w:hAnsiTheme="minorHAnsi" w:cs="Calibri"/>
          <w:color w:val="000000"/>
          <w:sz w:val="22"/>
          <w:szCs w:val="22"/>
        </w:rPr>
        <w:t xml:space="preserve"> on</w:t>
      </w:r>
      <w:r w:rsidR="171DC4A3" w:rsidRPr="004830DF">
        <w:rPr>
          <w:rFonts w:asciiTheme="minorHAnsi" w:eastAsia="Calibri" w:hAnsiTheme="minorHAnsi" w:cs="Calibri"/>
          <w:color w:val="000000"/>
          <w:sz w:val="22"/>
          <w:szCs w:val="22"/>
        </w:rPr>
        <w:t xml:space="preserve"> general student population and underserved populations</w:t>
      </w:r>
      <w:r w:rsidR="3C2AC7B5" w:rsidRPr="004830DF">
        <w:rPr>
          <w:rFonts w:asciiTheme="minorHAnsi" w:eastAsia="Calibri" w:hAnsiTheme="minorHAnsi" w:cs="Calibri"/>
          <w:color w:val="000000"/>
          <w:sz w:val="22"/>
          <w:szCs w:val="22"/>
        </w:rPr>
        <w:t>.</w:t>
      </w:r>
      <w:r w:rsidR="1BF3FEC8" w:rsidRPr="004830DF">
        <w:rPr>
          <w:rFonts w:asciiTheme="minorHAnsi" w:eastAsia="Calibri" w:hAnsiTheme="minorHAnsi" w:cs="Calibri"/>
          <w:color w:val="000000"/>
          <w:sz w:val="22"/>
          <w:szCs w:val="22"/>
        </w:rPr>
        <w:t xml:space="preserve"> </w:t>
      </w:r>
    </w:p>
    <w:p w14:paraId="6DA57641" w14:textId="76992710"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352A36B4" w14:textId="2C80C7A1" w:rsidR="004C3399"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w:t>
      </w:r>
      <w:r w:rsidR="3FE69A59" w:rsidRPr="004830DF">
        <w:rPr>
          <w:rFonts w:asciiTheme="minorHAnsi" w:eastAsia="Calibri" w:hAnsiTheme="minorHAnsi" w:cs="Calibri"/>
          <w:color w:val="000000"/>
          <w:sz w:val="22"/>
          <w:szCs w:val="22"/>
        </w:rPr>
        <w:t>The department from which t</w:t>
      </w:r>
      <w:r w:rsidR="0F72B41D" w:rsidRPr="004830DF">
        <w:rPr>
          <w:rFonts w:asciiTheme="minorHAnsi" w:eastAsia="Calibri" w:hAnsiTheme="minorHAnsi" w:cs="Calibri"/>
          <w:color w:val="000000"/>
          <w:sz w:val="22"/>
          <w:szCs w:val="22"/>
        </w:rPr>
        <w:t xml:space="preserve">his individual </w:t>
      </w:r>
      <w:r w:rsidR="555F5D53" w:rsidRPr="004830DF">
        <w:rPr>
          <w:rFonts w:asciiTheme="minorHAnsi" w:eastAsia="Calibri" w:hAnsiTheme="minorHAnsi" w:cs="Calibri"/>
          <w:color w:val="000000"/>
          <w:sz w:val="22"/>
          <w:szCs w:val="22"/>
        </w:rPr>
        <w:t>is selected.</w:t>
      </w:r>
    </w:p>
    <w:p w14:paraId="3C64E86B" w14:textId="6B9AF4F3" w:rsidR="00323137" w:rsidRPr="004830DF" w:rsidRDefault="00323137" w:rsidP="004830DF">
      <w:pPr>
        <w:pStyle w:val="NormalWeb"/>
        <w:spacing w:before="0" w:beforeAutospacing="0" w:after="0" w:afterAutospacing="0"/>
        <w:ind w:left="1440"/>
        <w:rPr>
          <w:rFonts w:asciiTheme="minorHAnsi" w:eastAsia="Calibri" w:hAnsiTheme="minorHAnsi" w:cs="Calibri"/>
          <w:color w:val="000000"/>
          <w:sz w:val="22"/>
          <w:szCs w:val="22"/>
        </w:rPr>
      </w:pPr>
    </w:p>
    <w:p w14:paraId="5E9B8806" w14:textId="63FC7E96" w:rsidR="00323137" w:rsidRPr="004830DF" w:rsidRDefault="00323137"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#2</w:t>
      </w:r>
      <w:r w:rsidR="00FC4418"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b/>
          <w:bCs/>
          <w:color w:val="000000"/>
          <w:sz w:val="22"/>
          <w:szCs w:val="22"/>
        </w:rPr>
        <w:t xml:space="preserve"> </w:t>
      </w:r>
      <w:r w:rsidRPr="004830DF">
        <w:rPr>
          <w:rFonts w:asciiTheme="minorHAnsi" w:eastAsia="Calibri" w:hAnsiTheme="minorHAnsi" w:cs="Calibri"/>
          <w:color w:val="000000"/>
          <w:sz w:val="22"/>
          <w:szCs w:val="22"/>
        </w:rPr>
        <w:t xml:space="preserve">Develop an advisory council that would integrate the efforts across campus for student research. This council would be comprised of representatives from all </w:t>
      </w:r>
      <w:r w:rsidR="00331FC9" w:rsidRPr="004830DF">
        <w:rPr>
          <w:rFonts w:asciiTheme="minorHAnsi" w:eastAsia="Calibri" w:hAnsiTheme="minorHAnsi" w:cs="Calibri"/>
          <w:color w:val="000000"/>
          <w:sz w:val="22"/>
          <w:szCs w:val="22"/>
        </w:rPr>
        <w:t>campus entities involved in</w:t>
      </w:r>
      <w:r w:rsidRPr="004830DF">
        <w:rPr>
          <w:rFonts w:asciiTheme="minorHAnsi" w:eastAsia="Calibri" w:hAnsiTheme="minorHAnsi" w:cs="Calibri"/>
          <w:color w:val="000000"/>
          <w:sz w:val="22"/>
          <w:szCs w:val="22"/>
        </w:rPr>
        <w:t xml:space="preserve"> </w:t>
      </w:r>
      <w:r w:rsidR="00331FC9" w:rsidRPr="004830DF">
        <w:rPr>
          <w:rFonts w:asciiTheme="minorHAnsi" w:eastAsia="Calibri" w:hAnsiTheme="minorHAnsi" w:cs="Calibri"/>
          <w:color w:val="000000"/>
          <w:sz w:val="22"/>
          <w:szCs w:val="22"/>
        </w:rPr>
        <w:t xml:space="preserve">supporting </w:t>
      </w:r>
      <w:r w:rsidRPr="004830DF">
        <w:rPr>
          <w:rFonts w:asciiTheme="minorHAnsi" w:eastAsia="Calibri" w:hAnsiTheme="minorHAnsi" w:cs="Calibri"/>
          <w:color w:val="000000"/>
          <w:sz w:val="22"/>
          <w:szCs w:val="22"/>
        </w:rPr>
        <w:t xml:space="preserve">undergraduate research. </w:t>
      </w:r>
    </w:p>
    <w:p w14:paraId="0FBE3FC6" w14:textId="77777777" w:rsidR="00323137" w:rsidRPr="004830DF" w:rsidRDefault="00323137" w:rsidP="004830DF">
      <w:pPr>
        <w:pStyle w:val="NormalWeb"/>
        <w:spacing w:before="0" w:beforeAutospacing="0" w:after="0" w:afterAutospacing="0"/>
        <w:ind w:left="1440"/>
        <w:rPr>
          <w:rFonts w:asciiTheme="minorHAnsi" w:eastAsia="Calibri" w:hAnsiTheme="minorHAnsi" w:cs="Calibri"/>
          <w:color w:val="000000"/>
          <w:sz w:val="22"/>
          <w:szCs w:val="22"/>
        </w:rPr>
      </w:pPr>
    </w:p>
    <w:p w14:paraId="24A557D3" w14:textId="5464821D" w:rsidR="6FFFD6DF" w:rsidRPr="004830DF" w:rsidRDefault="7237D23B" w:rsidP="004830DF">
      <w:pPr>
        <w:pStyle w:val="NormalWeb"/>
        <w:spacing w:before="0" w:beforeAutospacing="0" w:after="0" w:afterAutospacing="0"/>
        <w:ind w:left="1440"/>
        <w:rPr>
          <w:rFonts w:asciiTheme="minorHAnsi" w:eastAsia="Calibri" w:hAnsiTheme="minorHAnsi" w:cs="Calibri"/>
          <w:sz w:val="22"/>
          <w:szCs w:val="22"/>
        </w:rPr>
      </w:pPr>
      <w:r w:rsidRPr="004830DF">
        <w:rPr>
          <w:rFonts w:asciiTheme="minorHAnsi" w:eastAsia="Calibri" w:hAnsiTheme="minorHAnsi" w:cs="Calibri"/>
          <w:sz w:val="22"/>
          <w:szCs w:val="22"/>
        </w:rPr>
        <w:t>Explanation:</w:t>
      </w:r>
      <w:r w:rsidR="7F3019CF" w:rsidRPr="004830DF">
        <w:rPr>
          <w:rFonts w:asciiTheme="minorHAnsi" w:eastAsia="Calibri" w:hAnsiTheme="minorHAnsi" w:cs="Calibri"/>
          <w:sz w:val="22"/>
          <w:szCs w:val="22"/>
        </w:rPr>
        <w:t xml:space="preserve"> </w:t>
      </w:r>
      <w:r w:rsidR="76A1227F" w:rsidRPr="004830DF">
        <w:rPr>
          <w:rFonts w:asciiTheme="minorHAnsi" w:eastAsia="Calibri" w:hAnsiTheme="minorHAnsi" w:cs="Calibri"/>
          <w:sz w:val="22"/>
          <w:szCs w:val="22"/>
        </w:rPr>
        <w:t xml:space="preserve">By establishing </w:t>
      </w:r>
      <w:r w:rsidR="7C30566D" w:rsidRPr="004830DF">
        <w:rPr>
          <w:rFonts w:asciiTheme="minorHAnsi" w:eastAsia="Calibri" w:hAnsiTheme="minorHAnsi" w:cs="Calibri"/>
          <w:sz w:val="22"/>
          <w:szCs w:val="22"/>
        </w:rPr>
        <w:t>an advisory group early on, a system would be put in place to help</w:t>
      </w:r>
      <w:r w:rsidR="7106EBEB" w:rsidRPr="004830DF">
        <w:rPr>
          <w:rFonts w:asciiTheme="minorHAnsi" w:eastAsia="Calibri" w:hAnsiTheme="minorHAnsi" w:cs="Calibri"/>
          <w:sz w:val="22"/>
          <w:szCs w:val="22"/>
        </w:rPr>
        <w:t xml:space="preserve"> advise</w:t>
      </w:r>
      <w:r w:rsidR="00331FC9" w:rsidRPr="004830DF">
        <w:rPr>
          <w:rFonts w:asciiTheme="minorHAnsi" w:eastAsia="Calibri" w:hAnsiTheme="minorHAnsi" w:cs="Calibri"/>
          <w:sz w:val="22"/>
          <w:szCs w:val="22"/>
        </w:rPr>
        <w:t xml:space="preserve"> the faculty advocate</w:t>
      </w:r>
      <w:r w:rsidR="7106EBEB" w:rsidRPr="004830DF">
        <w:rPr>
          <w:rFonts w:asciiTheme="minorHAnsi" w:eastAsia="Calibri" w:hAnsiTheme="minorHAnsi" w:cs="Calibri"/>
          <w:sz w:val="22"/>
          <w:szCs w:val="22"/>
        </w:rPr>
        <w:t xml:space="preserve"> and </w:t>
      </w:r>
      <w:r w:rsidR="00331FC9" w:rsidRPr="004830DF">
        <w:rPr>
          <w:rFonts w:asciiTheme="minorHAnsi" w:eastAsia="Calibri" w:hAnsiTheme="minorHAnsi" w:cs="Calibri"/>
          <w:sz w:val="22"/>
          <w:szCs w:val="22"/>
        </w:rPr>
        <w:t xml:space="preserve">to </w:t>
      </w:r>
      <w:r w:rsidR="7106EBEB" w:rsidRPr="004830DF">
        <w:rPr>
          <w:rFonts w:asciiTheme="minorHAnsi" w:eastAsia="Calibri" w:hAnsiTheme="minorHAnsi" w:cs="Calibri"/>
          <w:sz w:val="22"/>
          <w:szCs w:val="22"/>
        </w:rPr>
        <w:t>provide input f</w:t>
      </w:r>
      <w:r w:rsidR="273FB490" w:rsidRPr="004830DF">
        <w:rPr>
          <w:rFonts w:asciiTheme="minorHAnsi" w:eastAsia="Calibri" w:hAnsiTheme="minorHAnsi" w:cs="Calibri"/>
          <w:sz w:val="22"/>
          <w:szCs w:val="22"/>
        </w:rPr>
        <w:t>rom</w:t>
      </w:r>
      <w:r w:rsidR="180E3561" w:rsidRPr="004830DF">
        <w:rPr>
          <w:rFonts w:asciiTheme="minorHAnsi" w:eastAsia="Calibri" w:hAnsiTheme="minorHAnsi" w:cs="Calibri"/>
          <w:sz w:val="22"/>
          <w:szCs w:val="22"/>
        </w:rPr>
        <w:t xml:space="preserve"> </w:t>
      </w:r>
      <w:r w:rsidR="7106EBEB" w:rsidRPr="004830DF">
        <w:rPr>
          <w:rFonts w:asciiTheme="minorHAnsi" w:eastAsia="Calibri" w:hAnsiTheme="minorHAnsi" w:cs="Calibri"/>
          <w:sz w:val="22"/>
          <w:szCs w:val="22"/>
        </w:rPr>
        <w:t xml:space="preserve">the various </w:t>
      </w:r>
      <w:r w:rsidR="180E3561" w:rsidRPr="004830DF">
        <w:rPr>
          <w:rFonts w:asciiTheme="minorHAnsi" w:eastAsia="Calibri" w:hAnsiTheme="minorHAnsi" w:cs="Calibri"/>
          <w:sz w:val="22"/>
          <w:szCs w:val="22"/>
        </w:rPr>
        <w:t xml:space="preserve">entities </w:t>
      </w:r>
      <w:r w:rsidR="778A3EF6" w:rsidRPr="004830DF">
        <w:rPr>
          <w:rFonts w:asciiTheme="minorHAnsi" w:eastAsia="Calibri" w:hAnsiTheme="minorHAnsi" w:cs="Calibri"/>
          <w:sz w:val="22"/>
          <w:szCs w:val="22"/>
        </w:rPr>
        <w:t xml:space="preserve">and </w:t>
      </w:r>
      <w:r w:rsidR="778A3EF6" w:rsidRPr="004830DF">
        <w:rPr>
          <w:rFonts w:asciiTheme="minorHAnsi" w:eastAsia="Calibri" w:hAnsiTheme="minorHAnsi" w:cs="Calibri"/>
          <w:sz w:val="22"/>
          <w:szCs w:val="22"/>
        </w:rPr>
        <w:lastRenderedPageBreak/>
        <w:t xml:space="preserve">individuals </w:t>
      </w:r>
      <w:r w:rsidR="00331FC9" w:rsidRPr="004830DF">
        <w:rPr>
          <w:rFonts w:asciiTheme="minorHAnsi" w:eastAsia="Calibri" w:hAnsiTheme="minorHAnsi" w:cs="Calibri"/>
          <w:sz w:val="22"/>
          <w:szCs w:val="22"/>
        </w:rPr>
        <w:t>on campus that are involved in mentored undergraduate research</w:t>
      </w:r>
      <w:r w:rsidR="778A3EF6" w:rsidRPr="004830DF">
        <w:rPr>
          <w:rFonts w:asciiTheme="minorHAnsi" w:eastAsia="Calibri" w:hAnsiTheme="minorHAnsi" w:cs="Calibri"/>
          <w:sz w:val="22"/>
          <w:szCs w:val="22"/>
        </w:rPr>
        <w:t xml:space="preserve">. </w:t>
      </w:r>
      <w:r w:rsidR="25E9C9A8" w:rsidRPr="004830DF">
        <w:rPr>
          <w:rFonts w:asciiTheme="minorHAnsi" w:eastAsia="Calibri" w:hAnsiTheme="minorHAnsi" w:cs="Calibri"/>
          <w:sz w:val="22"/>
          <w:szCs w:val="22"/>
        </w:rPr>
        <w:t xml:space="preserve">This group would be chaired by the </w:t>
      </w:r>
      <w:r w:rsidR="00331FC9" w:rsidRPr="004830DF">
        <w:rPr>
          <w:rFonts w:asciiTheme="minorHAnsi" w:eastAsia="Calibri" w:hAnsiTheme="minorHAnsi" w:cs="Calibri"/>
          <w:sz w:val="22"/>
          <w:szCs w:val="22"/>
        </w:rPr>
        <w:t xml:space="preserve">individual </w:t>
      </w:r>
      <w:r w:rsidR="25E9C9A8" w:rsidRPr="004830DF">
        <w:rPr>
          <w:rFonts w:asciiTheme="minorHAnsi" w:eastAsia="Calibri" w:hAnsiTheme="minorHAnsi" w:cs="Calibri"/>
          <w:sz w:val="22"/>
          <w:szCs w:val="22"/>
        </w:rPr>
        <w:t>discussed in</w:t>
      </w:r>
      <w:r w:rsidR="00331FC9" w:rsidRPr="004830DF">
        <w:rPr>
          <w:rFonts w:asciiTheme="minorHAnsi" w:eastAsia="Calibri" w:hAnsiTheme="minorHAnsi" w:cs="Calibri"/>
          <w:sz w:val="22"/>
          <w:szCs w:val="22"/>
        </w:rPr>
        <w:t xml:space="preserve"> Action Step #3,</w:t>
      </w:r>
      <w:r w:rsidR="25E9C9A8" w:rsidRPr="004830DF">
        <w:rPr>
          <w:rFonts w:asciiTheme="minorHAnsi" w:eastAsia="Calibri" w:hAnsiTheme="minorHAnsi" w:cs="Calibri"/>
          <w:sz w:val="22"/>
          <w:szCs w:val="22"/>
        </w:rPr>
        <w:t xml:space="preserve"> Task #1. </w:t>
      </w:r>
      <w:r w:rsidR="2F18B122" w:rsidRPr="004830DF">
        <w:rPr>
          <w:rFonts w:asciiTheme="minorHAnsi" w:eastAsia="Calibri" w:hAnsiTheme="minorHAnsi" w:cs="Calibri"/>
          <w:sz w:val="22"/>
          <w:szCs w:val="22"/>
        </w:rPr>
        <w:t>This council would also aid in determining how funds</w:t>
      </w:r>
      <w:r w:rsidR="00331FC9" w:rsidRPr="004830DF">
        <w:rPr>
          <w:rFonts w:asciiTheme="minorHAnsi" w:eastAsia="Calibri" w:hAnsiTheme="minorHAnsi" w:cs="Calibri"/>
          <w:sz w:val="22"/>
          <w:szCs w:val="22"/>
        </w:rPr>
        <w:t xml:space="preserve"> dedicated to supporting undergraduate research</w:t>
      </w:r>
      <w:r w:rsidR="2F18B122" w:rsidRPr="004830DF">
        <w:rPr>
          <w:rFonts w:asciiTheme="minorHAnsi" w:eastAsia="Calibri" w:hAnsiTheme="minorHAnsi" w:cs="Calibri"/>
          <w:sz w:val="22"/>
          <w:szCs w:val="22"/>
        </w:rPr>
        <w:t xml:space="preserve"> are distributed.</w:t>
      </w:r>
      <w:r w:rsidR="6FFFD6DF" w:rsidRPr="004830DF">
        <w:rPr>
          <w:rFonts w:asciiTheme="minorHAnsi" w:eastAsia="Calibri" w:hAnsiTheme="minorHAnsi" w:cs="Calibri"/>
          <w:sz w:val="22"/>
          <w:szCs w:val="22"/>
        </w:rPr>
        <w:t xml:space="preserve"> </w:t>
      </w:r>
    </w:p>
    <w:p w14:paraId="085EA05C" w14:textId="447EEC2F" w:rsidR="611F08A6" w:rsidRPr="004830DF" w:rsidRDefault="611F08A6" w:rsidP="004830DF">
      <w:pPr>
        <w:pStyle w:val="NormalWeb"/>
        <w:spacing w:before="0" w:beforeAutospacing="0" w:after="0" w:afterAutospacing="0"/>
        <w:ind w:left="1440"/>
        <w:rPr>
          <w:rFonts w:asciiTheme="minorHAnsi" w:eastAsia="Calibri" w:hAnsiTheme="minorHAnsi" w:cs="Calibri"/>
          <w:sz w:val="22"/>
          <w:szCs w:val="22"/>
        </w:rPr>
      </w:pPr>
    </w:p>
    <w:p w14:paraId="1BFEF9B7" w14:textId="61579D8A" w:rsidR="004C3399" w:rsidRPr="004830DF" w:rsidRDefault="7237D23B" w:rsidP="004830DF">
      <w:pPr>
        <w:pStyle w:val="NormalWeb"/>
        <w:spacing w:before="0" w:beforeAutospacing="0" w:after="0" w:afterAutospacing="0"/>
        <w:ind w:left="1440"/>
        <w:rPr>
          <w:rFonts w:asciiTheme="minorHAnsi" w:eastAsia="Calibri" w:hAnsiTheme="minorHAnsi" w:cs="Calibri"/>
          <w:sz w:val="22"/>
          <w:szCs w:val="22"/>
        </w:rPr>
      </w:pPr>
      <w:r w:rsidRPr="004830DF">
        <w:rPr>
          <w:rFonts w:asciiTheme="minorHAnsi" w:eastAsia="Calibri" w:hAnsiTheme="minorHAnsi" w:cs="Calibri"/>
          <w:sz w:val="22"/>
          <w:szCs w:val="22"/>
        </w:rPr>
        <w:t>Resources Needed:</w:t>
      </w:r>
      <w:r w:rsidR="004D287C" w:rsidRPr="004830DF">
        <w:rPr>
          <w:rFonts w:asciiTheme="minorHAnsi" w:eastAsia="Calibri" w:hAnsiTheme="minorHAnsi" w:cs="Calibri"/>
          <w:sz w:val="22"/>
          <w:szCs w:val="22"/>
        </w:rPr>
        <w:t xml:space="preserve"> representation on council from faculty who take part in mentored undergraduate research, the Center for Teaching &amp; Learning, the Office of Research and Sponsored Programs, Steen Library, and the School of Honors.</w:t>
      </w:r>
    </w:p>
    <w:p w14:paraId="46E5F8C4" w14:textId="3DC9D960" w:rsidR="2C8AFE68" w:rsidRPr="004830DF" w:rsidRDefault="2C8AFE68" w:rsidP="004830DF">
      <w:pPr>
        <w:pStyle w:val="NormalWeb"/>
        <w:spacing w:before="0" w:beforeAutospacing="0" w:after="0" w:afterAutospacing="0"/>
        <w:ind w:left="1800"/>
        <w:rPr>
          <w:rFonts w:asciiTheme="minorHAnsi" w:eastAsiaTheme="minorEastAsia" w:hAnsiTheme="minorHAnsi"/>
          <w:sz w:val="22"/>
          <w:szCs w:val="22"/>
        </w:rPr>
      </w:pPr>
    </w:p>
    <w:p w14:paraId="24321334" w14:textId="1DA9CD3B" w:rsidR="004C3399" w:rsidRPr="004830DF" w:rsidRDefault="7237D23B" w:rsidP="004830DF">
      <w:pPr>
        <w:pStyle w:val="NormalWeb"/>
        <w:spacing w:before="0" w:beforeAutospacing="0" w:after="0" w:afterAutospacing="0"/>
        <w:ind w:left="1440"/>
        <w:rPr>
          <w:rFonts w:asciiTheme="minorHAnsi" w:eastAsia="Calibri" w:hAnsiTheme="minorHAnsi" w:cs="Calibri"/>
          <w:sz w:val="22"/>
          <w:szCs w:val="22"/>
        </w:rPr>
      </w:pPr>
      <w:r w:rsidRPr="004830DF">
        <w:rPr>
          <w:rFonts w:asciiTheme="minorHAnsi" w:eastAsia="Calibri" w:hAnsiTheme="minorHAnsi" w:cs="Calibri"/>
          <w:sz w:val="22"/>
          <w:szCs w:val="22"/>
        </w:rPr>
        <w:t xml:space="preserve">Immediate Targets: </w:t>
      </w:r>
      <w:r w:rsidR="4416A27E" w:rsidRPr="004830DF">
        <w:rPr>
          <w:rFonts w:asciiTheme="minorHAnsi" w:eastAsia="Calibri" w:hAnsiTheme="minorHAnsi" w:cs="Calibri"/>
          <w:sz w:val="22"/>
          <w:szCs w:val="22"/>
        </w:rPr>
        <w:t>C</w:t>
      </w:r>
      <w:r w:rsidR="55A8D349" w:rsidRPr="004830DF">
        <w:rPr>
          <w:rFonts w:asciiTheme="minorHAnsi" w:eastAsia="Calibri" w:hAnsiTheme="minorHAnsi" w:cs="Calibri"/>
          <w:sz w:val="22"/>
          <w:szCs w:val="22"/>
        </w:rPr>
        <w:t xml:space="preserve">ouncil </w:t>
      </w:r>
      <w:r w:rsidR="20F93931" w:rsidRPr="004830DF">
        <w:rPr>
          <w:rFonts w:asciiTheme="minorHAnsi" w:eastAsia="Calibri" w:hAnsiTheme="minorHAnsi" w:cs="Calibri"/>
          <w:sz w:val="22"/>
          <w:szCs w:val="22"/>
        </w:rPr>
        <w:t xml:space="preserve">is established and begins meeting </w:t>
      </w:r>
      <w:r w:rsidR="34C7B4DD" w:rsidRPr="004830DF">
        <w:rPr>
          <w:rFonts w:asciiTheme="minorHAnsi" w:eastAsia="Calibri" w:hAnsiTheme="minorHAnsi" w:cs="Calibri"/>
          <w:sz w:val="22"/>
          <w:szCs w:val="22"/>
        </w:rPr>
        <w:t xml:space="preserve">in </w:t>
      </w:r>
      <w:proofErr w:type="gramStart"/>
      <w:r w:rsidR="34C7B4DD" w:rsidRPr="004830DF">
        <w:rPr>
          <w:rFonts w:asciiTheme="minorHAnsi" w:eastAsia="Calibri" w:hAnsiTheme="minorHAnsi" w:cs="Calibri"/>
          <w:sz w:val="22"/>
          <w:szCs w:val="22"/>
        </w:rPr>
        <w:t>Fall</w:t>
      </w:r>
      <w:proofErr w:type="gramEnd"/>
      <w:r w:rsidR="34C7B4DD" w:rsidRPr="004830DF">
        <w:rPr>
          <w:rFonts w:asciiTheme="minorHAnsi" w:eastAsia="Calibri" w:hAnsiTheme="minorHAnsi" w:cs="Calibri"/>
          <w:sz w:val="22"/>
          <w:szCs w:val="22"/>
        </w:rPr>
        <w:t xml:space="preserve"> 2018.</w:t>
      </w:r>
    </w:p>
    <w:p w14:paraId="71BF965A" w14:textId="77777777" w:rsidR="004C3399" w:rsidRPr="004830DF" w:rsidRDefault="004C3399" w:rsidP="004830DF">
      <w:pPr>
        <w:pStyle w:val="NormalWeb"/>
        <w:spacing w:before="0" w:beforeAutospacing="0" w:after="0" w:afterAutospacing="0"/>
        <w:ind w:left="1440"/>
        <w:rPr>
          <w:rFonts w:asciiTheme="minorHAnsi" w:eastAsia="Calibri" w:hAnsiTheme="minorHAnsi" w:cs="Calibri"/>
          <w:sz w:val="22"/>
          <w:szCs w:val="22"/>
        </w:rPr>
      </w:pPr>
    </w:p>
    <w:p w14:paraId="58D38681" w14:textId="05EDC669" w:rsidR="103E13E4" w:rsidRPr="004830DF" w:rsidRDefault="7237D23B" w:rsidP="004830DF">
      <w:pPr>
        <w:pStyle w:val="NormalWeb"/>
        <w:spacing w:before="0" w:beforeAutospacing="0" w:after="0" w:afterAutospacing="0"/>
        <w:ind w:left="1440"/>
        <w:rPr>
          <w:rFonts w:asciiTheme="minorHAnsi" w:eastAsia="Calibri" w:hAnsiTheme="minorHAnsi" w:cs="Calibri"/>
          <w:sz w:val="22"/>
          <w:szCs w:val="22"/>
        </w:rPr>
      </w:pPr>
      <w:r w:rsidRPr="004830DF">
        <w:rPr>
          <w:rFonts w:asciiTheme="minorHAnsi" w:eastAsia="Calibri" w:hAnsiTheme="minorHAnsi" w:cs="Calibri"/>
          <w:sz w:val="22"/>
          <w:szCs w:val="22"/>
        </w:rPr>
        <w:t xml:space="preserve">Long-Range Targets: </w:t>
      </w:r>
      <w:r w:rsidR="426E2C46" w:rsidRPr="004830DF">
        <w:rPr>
          <w:rFonts w:asciiTheme="minorHAnsi" w:eastAsia="Calibri" w:hAnsiTheme="minorHAnsi" w:cs="Calibri"/>
          <w:sz w:val="22"/>
          <w:szCs w:val="22"/>
        </w:rPr>
        <w:t xml:space="preserve">Council will provide continued guidance on the </w:t>
      </w:r>
      <w:r w:rsidR="567177A6" w:rsidRPr="004830DF">
        <w:rPr>
          <w:rFonts w:asciiTheme="minorHAnsi" w:eastAsia="Calibri" w:hAnsiTheme="minorHAnsi" w:cs="Calibri"/>
          <w:sz w:val="22"/>
          <w:szCs w:val="22"/>
        </w:rPr>
        <w:t xml:space="preserve">role </w:t>
      </w:r>
      <w:r w:rsidR="5B79B9F6" w:rsidRPr="004830DF">
        <w:rPr>
          <w:rFonts w:asciiTheme="minorHAnsi" w:eastAsia="Calibri" w:hAnsiTheme="minorHAnsi" w:cs="Calibri"/>
          <w:sz w:val="22"/>
          <w:szCs w:val="22"/>
        </w:rPr>
        <w:t>and possible expansion of resou</w:t>
      </w:r>
      <w:r w:rsidR="4FA5F634" w:rsidRPr="004830DF">
        <w:rPr>
          <w:rFonts w:asciiTheme="minorHAnsi" w:eastAsia="Calibri" w:hAnsiTheme="minorHAnsi" w:cs="Calibri"/>
          <w:sz w:val="22"/>
          <w:szCs w:val="22"/>
        </w:rPr>
        <w:t>rces supporting</w:t>
      </w:r>
      <w:r w:rsidR="567177A6" w:rsidRPr="004830DF">
        <w:rPr>
          <w:rFonts w:asciiTheme="minorHAnsi" w:eastAsia="Calibri" w:hAnsiTheme="minorHAnsi" w:cs="Calibri"/>
          <w:sz w:val="22"/>
          <w:szCs w:val="22"/>
        </w:rPr>
        <w:t xml:space="preserve"> mentored undergradua</w:t>
      </w:r>
      <w:r w:rsidR="5B79B9F6" w:rsidRPr="004830DF">
        <w:rPr>
          <w:rFonts w:asciiTheme="minorHAnsi" w:eastAsia="Calibri" w:hAnsiTheme="minorHAnsi" w:cs="Calibri"/>
          <w:sz w:val="22"/>
          <w:szCs w:val="22"/>
        </w:rPr>
        <w:t>te research</w:t>
      </w:r>
      <w:r w:rsidR="4FA5F634" w:rsidRPr="004830DF">
        <w:rPr>
          <w:rFonts w:asciiTheme="minorHAnsi" w:eastAsia="Calibri" w:hAnsiTheme="minorHAnsi" w:cs="Calibri"/>
          <w:sz w:val="22"/>
          <w:szCs w:val="22"/>
        </w:rPr>
        <w:t>.</w:t>
      </w:r>
      <w:r w:rsidR="103E13E4" w:rsidRPr="004830DF">
        <w:rPr>
          <w:rFonts w:asciiTheme="minorHAnsi" w:eastAsia="Calibri" w:hAnsiTheme="minorHAnsi" w:cs="Calibri"/>
          <w:sz w:val="22"/>
          <w:szCs w:val="22"/>
        </w:rPr>
        <w:t xml:space="preserve"> Council will develop methods for evaluating the impact of mentored undergraduate research. </w:t>
      </w:r>
    </w:p>
    <w:p w14:paraId="0A7F4214" w14:textId="77777777" w:rsidR="004C3399" w:rsidRPr="004830DF" w:rsidRDefault="004C3399" w:rsidP="004830DF">
      <w:pPr>
        <w:pStyle w:val="NormalWeb"/>
        <w:spacing w:before="0" w:beforeAutospacing="0" w:after="0" w:afterAutospacing="0"/>
        <w:ind w:left="1440"/>
        <w:rPr>
          <w:rFonts w:asciiTheme="minorHAnsi" w:eastAsia="Calibri" w:hAnsiTheme="minorHAnsi" w:cs="Calibri"/>
          <w:sz w:val="22"/>
          <w:szCs w:val="22"/>
        </w:rPr>
      </w:pPr>
    </w:p>
    <w:p w14:paraId="2497309E" w14:textId="2650EBDC" w:rsidR="004C3399" w:rsidRPr="004830DF" w:rsidRDefault="7237D23B" w:rsidP="004830DF">
      <w:pPr>
        <w:pStyle w:val="NormalWeb"/>
        <w:spacing w:before="0" w:beforeAutospacing="0" w:after="0" w:afterAutospacing="0"/>
        <w:ind w:left="1440"/>
        <w:rPr>
          <w:rFonts w:asciiTheme="minorHAnsi" w:eastAsia="Calibri" w:hAnsiTheme="minorHAnsi" w:cs="Calibri"/>
          <w:color w:val="4472C4" w:themeColor="accent5"/>
          <w:sz w:val="22"/>
          <w:szCs w:val="22"/>
        </w:rPr>
      </w:pPr>
      <w:r w:rsidRPr="004830DF">
        <w:rPr>
          <w:rFonts w:asciiTheme="minorHAnsi" w:eastAsia="Calibri" w:hAnsiTheme="minorHAnsi" w:cs="Calibri"/>
          <w:sz w:val="22"/>
          <w:szCs w:val="22"/>
        </w:rPr>
        <w:t xml:space="preserve">Impacted Departments: </w:t>
      </w:r>
      <w:r w:rsidR="019EC5AF" w:rsidRPr="004830DF">
        <w:rPr>
          <w:rFonts w:asciiTheme="minorHAnsi" w:eastAsia="Calibri" w:hAnsiTheme="minorHAnsi" w:cs="Calibri"/>
          <w:sz w:val="22"/>
          <w:szCs w:val="22"/>
        </w:rPr>
        <w:t>All</w:t>
      </w:r>
    </w:p>
    <w:p w14:paraId="5730F1FE" w14:textId="77777777" w:rsidR="004C3399" w:rsidRPr="004830DF" w:rsidRDefault="004C3399" w:rsidP="004830DF">
      <w:pPr>
        <w:pStyle w:val="NormalWeb"/>
        <w:spacing w:before="0" w:beforeAutospacing="0" w:after="0" w:afterAutospacing="0"/>
        <w:ind w:left="1440"/>
        <w:rPr>
          <w:rFonts w:asciiTheme="minorHAnsi" w:eastAsia="Calibri" w:hAnsiTheme="minorHAnsi" w:cs="Calibri"/>
          <w:b/>
          <w:bCs/>
          <w:color w:val="000000"/>
          <w:sz w:val="22"/>
          <w:szCs w:val="22"/>
          <w:u w:val="single"/>
        </w:rPr>
      </w:pPr>
    </w:p>
    <w:p w14:paraId="78482232" w14:textId="42C9B171" w:rsidR="00444025" w:rsidRPr="004830DF" w:rsidRDefault="004C3399"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5A375D84" w:rsidRPr="004830DF">
        <w:rPr>
          <w:rFonts w:asciiTheme="minorHAnsi" w:eastAsia="Calibri" w:hAnsiTheme="minorHAnsi" w:cs="Calibri"/>
          <w:b/>
          <w:bCs/>
          <w:color w:val="000000"/>
          <w:sz w:val="22"/>
          <w:szCs w:val="22"/>
          <w:u w:val="single"/>
        </w:rPr>
        <w:t>3</w:t>
      </w:r>
      <w:r w:rsidR="00444025" w:rsidRPr="004830DF">
        <w:rPr>
          <w:rFonts w:asciiTheme="minorHAnsi" w:eastAsia="Calibri" w:hAnsiTheme="minorHAnsi" w:cs="Calibri"/>
          <w:b/>
          <w:bCs/>
          <w:color w:val="000000"/>
          <w:sz w:val="22"/>
          <w:szCs w:val="22"/>
          <w:u w:val="single"/>
        </w:rPr>
        <w:t>:</w:t>
      </w:r>
      <w:r w:rsidR="00444025" w:rsidRPr="004830DF">
        <w:rPr>
          <w:rFonts w:asciiTheme="minorHAnsi" w:eastAsia="Calibri" w:hAnsiTheme="minorHAnsi" w:cs="Calibri"/>
          <w:color w:val="000000"/>
          <w:sz w:val="22"/>
          <w:szCs w:val="22"/>
        </w:rPr>
        <w:t xml:space="preserve"> Create a professional development series to provide faculty </w:t>
      </w:r>
      <w:r w:rsidR="1F17FC3B" w:rsidRPr="004830DF">
        <w:rPr>
          <w:rFonts w:asciiTheme="minorHAnsi" w:eastAsia="Calibri" w:hAnsiTheme="minorHAnsi" w:cs="Calibri"/>
          <w:color w:val="000000"/>
          <w:sz w:val="22"/>
          <w:szCs w:val="22"/>
        </w:rPr>
        <w:t xml:space="preserve">and graduate students </w:t>
      </w:r>
      <w:r w:rsidR="00444025" w:rsidRPr="004830DF">
        <w:rPr>
          <w:rFonts w:asciiTheme="minorHAnsi" w:eastAsia="Calibri" w:hAnsiTheme="minorHAnsi" w:cs="Calibri"/>
          <w:color w:val="000000"/>
          <w:sz w:val="22"/>
          <w:szCs w:val="22"/>
        </w:rPr>
        <w:t xml:space="preserve">with information about </w:t>
      </w:r>
      <w:r w:rsidR="00666A84" w:rsidRPr="004830DF">
        <w:rPr>
          <w:rFonts w:asciiTheme="minorHAnsi" w:eastAsia="Calibri" w:hAnsiTheme="minorHAnsi" w:cs="Calibri"/>
          <w:color w:val="000000"/>
          <w:sz w:val="22"/>
          <w:szCs w:val="22"/>
        </w:rPr>
        <w:t>best practices in mentoring</w:t>
      </w:r>
      <w:r w:rsidR="00444025" w:rsidRPr="004830DF">
        <w:rPr>
          <w:rFonts w:asciiTheme="minorHAnsi" w:eastAsia="Calibri" w:hAnsiTheme="minorHAnsi" w:cs="Calibri"/>
          <w:color w:val="000000"/>
          <w:sz w:val="22"/>
          <w:szCs w:val="22"/>
        </w:rPr>
        <w:t xml:space="preserve"> and how to engage in </w:t>
      </w:r>
      <w:r w:rsidR="00666A84" w:rsidRPr="004830DF">
        <w:rPr>
          <w:rFonts w:asciiTheme="minorHAnsi" w:eastAsia="Calibri" w:hAnsiTheme="minorHAnsi" w:cs="Calibri"/>
          <w:color w:val="000000"/>
          <w:sz w:val="22"/>
          <w:szCs w:val="22"/>
        </w:rPr>
        <w:t>mentored student</w:t>
      </w:r>
      <w:r w:rsidR="00444025" w:rsidRPr="004830DF">
        <w:rPr>
          <w:rFonts w:asciiTheme="minorHAnsi" w:eastAsia="Calibri" w:hAnsiTheme="minorHAnsi" w:cs="Calibri"/>
          <w:color w:val="000000"/>
          <w:sz w:val="22"/>
          <w:szCs w:val="22"/>
        </w:rPr>
        <w:t xml:space="preserve"> research.</w:t>
      </w:r>
    </w:p>
    <w:p w14:paraId="0254DE11"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0CD7D612" w14:textId="7F3D3FFC"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r w:rsidR="31EDD62E" w:rsidRPr="004830DF">
        <w:rPr>
          <w:rFonts w:asciiTheme="minorHAnsi" w:eastAsia="Calibri" w:hAnsiTheme="minorHAnsi" w:cs="Calibri"/>
          <w:color w:val="000000"/>
          <w:sz w:val="22"/>
          <w:szCs w:val="22"/>
        </w:rPr>
        <w:t xml:space="preserve">Successful </w:t>
      </w:r>
      <w:r w:rsidR="1DFEE2EE" w:rsidRPr="004830DF">
        <w:rPr>
          <w:rFonts w:asciiTheme="minorHAnsi" w:eastAsia="Calibri" w:hAnsiTheme="minorHAnsi" w:cs="Calibri"/>
          <w:color w:val="000000"/>
          <w:sz w:val="22"/>
          <w:szCs w:val="22"/>
        </w:rPr>
        <w:t>undergraduate sch</w:t>
      </w:r>
      <w:r w:rsidR="01F29147" w:rsidRPr="004830DF">
        <w:rPr>
          <w:rFonts w:asciiTheme="minorHAnsi" w:eastAsia="Calibri" w:hAnsiTheme="minorHAnsi" w:cs="Calibri"/>
          <w:color w:val="000000"/>
          <w:sz w:val="22"/>
          <w:szCs w:val="22"/>
        </w:rPr>
        <w:t>olarship relies on b</w:t>
      </w:r>
      <w:r w:rsidR="007D4F49" w:rsidRPr="004830DF">
        <w:rPr>
          <w:rFonts w:asciiTheme="minorHAnsi" w:eastAsia="Calibri" w:hAnsiTheme="minorHAnsi" w:cs="Calibri"/>
          <w:color w:val="000000"/>
          <w:sz w:val="22"/>
          <w:szCs w:val="22"/>
        </w:rPr>
        <w:t xml:space="preserve">uilding a community engaged with undergraduate scholarship and </w:t>
      </w:r>
      <w:r w:rsidR="3A6770D3" w:rsidRPr="004830DF">
        <w:rPr>
          <w:rFonts w:asciiTheme="minorHAnsi" w:eastAsia="Calibri" w:hAnsiTheme="minorHAnsi" w:cs="Calibri"/>
          <w:color w:val="000000"/>
          <w:sz w:val="22"/>
          <w:szCs w:val="22"/>
        </w:rPr>
        <w:t xml:space="preserve">building relationships between </w:t>
      </w:r>
      <w:r w:rsidR="2E09A7A5" w:rsidRPr="004830DF">
        <w:rPr>
          <w:rFonts w:asciiTheme="minorHAnsi" w:eastAsia="Calibri" w:hAnsiTheme="minorHAnsi" w:cs="Calibri"/>
          <w:color w:val="000000"/>
          <w:sz w:val="22"/>
          <w:szCs w:val="22"/>
        </w:rPr>
        <w:t>students and me</w:t>
      </w:r>
      <w:r w:rsidR="37322DF1" w:rsidRPr="004830DF">
        <w:rPr>
          <w:rFonts w:asciiTheme="minorHAnsi" w:eastAsia="Calibri" w:hAnsiTheme="minorHAnsi" w:cs="Calibri"/>
          <w:color w:val="000000"/>
          <w:sz w:val="22"/>
          <w:szCs w:val="22"/>
        </w:rPr>
        <w:t>n</w:t>
      </w:r>
      <w:r w:rsidR="2E09A7A5" w:rsidRPr="004830DF">
        <w:rPr>
          <w:rFonts w:asciiTheme="minorHAnsi" w:eastAsia="Calibri" w:hAnsiTheme="minorHAnsi" w:cs="Calibri"/>
          <w:color w:val="000000"/>
          <w:sz w:val="22"/>
          <w:szCs w:val="22"/>
        </w:rPr>
        <w:t xml:space="preserve">tors. </w:t>
      </w:r>
      <w:r w:rsidR="006CF808" w:rsidRPr="004830DF">
        <w:rPr>
          <w:rFonts w:asciiTheme="minorHAnsi" w:eastAsia="Calibri" w:hAnsiTheme="minorHAnsi" w:cs="Calibri"/>
          <w:color w:val="000000"/>
          <w:sz w:val="22"/>
          <w:szCs w:val="22"/>
        </w:rPr>
        <w:t xml:space="preserve">It is imperative </w:t>
      </w:r>
      <w:r w:rsidR="004D287C" w:rsidRPr="004830DF">
        <w:rPr>
          <w:rFonts w:asciiTheme="minorHAnsi" w:eastAsia="Calibri" w:hAnsiTheme="minorHAnsi" w:cs="Calibri"/>
          <w:color w:val="000000"/>
          <w:sz w:val="22"/>
          <w:szCs w:val="22"/>
        </w:rPr>
        <w:t>that faculty mentors</w:t>
      </w:r>
      <w:r w:rsidR="006CF808" w:rsidRPr="004830DF">
        <w:rPr>
          <w:rFonts w:asciiTheme="minorHAnsi" w:eastAsia="Calibri" w:hAnsiTheme="minorHAnsi" w:cs="Calibri"/>
          <w:color w:val="000000"/>
          <w:sz w:val="22"/>
          <w:szCs w:val="22"/>
        </w:rPr>
        <w:t xml:space="preserve"> </w:t>
      </w:r>
      <w:r w:rsidR="413CE1EE" w:rsidRPr="004830DF">
        <w:rPr>
          <w:rFonts w:asciiTheme="minorHAnsi" w:eastAsia="Calibri" w:hAnsiTheme="minorHAnsi" w:cs="Calibri"/>
          <w:color w:val="000000"/>
          <w:sz w:val="22"/>
          <w:szCs w:val="22"/>
        </w:rPr>
        <w:t xml:space="preserve">use </w:t>
      </w:r>
      <w:r w:rsidR="006CF808" w:rsidRPr="004830DF">
        <w:rPr>
          <w:rFonts w:asciiTheme="minorHAnsi" w:eastAsia="Calibri" w:hAnsiTheme="minorHAnsi" w:cs="Calibri"/>
          <w:color w:val="000000"/>
          <w:sz w:val="22"/>
          <w:szCs w:val="22"/>
        </w:rPr>
        <w:t>best</w:t>
      </w:r>
      <w:r w:rsidR="0038485E" w:rsidRPr="004830DF">
        <w:rPr>
          <w:rFonts w:asciiTheme="minorHAnsi" w:eastAsia="Calibri" w:hAnsiTheme="minorHAnsi" w:cs="Calibri"/>
          <w:color w:val="000000"/>
          <w:sz w:val="22"/>
          <w:szCs w:val="22"/>
        </w:rPr>
        <w:t xml:space="preserve"> </w:t>
      </w:r>
      <w:r w:rsidR="006CF808" w:rsidRPr="004830DF">
        <w:rPr>
          <w:rFonts w:asciiTheme="minorHAnsi" w:eastAsia="Calibri" w:hAnsiTheme="minorHAnsi" w:cs="Calibri"/>
          <w:color w:val="000000"/>
          <w:sz w:val="22"/>
          <w:szCs w:val="22"/>
        </w:rPr>
        <w:t xml:space="preserve">practices in mentoring and rely on the </w:t>
      </w:r>
      <w:r w:rsidR="2B1E7288" w:rsidRPr="004830DF">
        <w:rPr>
          <w:rFonts w:asciiTheme="minorHAnsi" w:eastAsia="Calibri" w:hAnsiTheme="minorHAnsi" w:cs="Calibri"/>
          <w:color w:val="000000"/>
          <w:sz w:val="22"/>
          <w:szCs w:val="22"/>
        </w:rPr>
        <w:t>body of literature establishing evidence</w:t>
      </w:r>
      <w:r w:rsidR="004D287C" w:rsidRPr="004830DF">
        <w:rPr>
          <w:rFonts w:asciiTheme="minorHAnsi" w:eastAsia="Calibri" w:hAnsiTheme="minorHAnsi" w:cs="Calibri"/>
          <w:color w:val="000000"/>
          <w:sz w:val="22"/>
          <w:szCs w:val="22"/>
        </w:rPr>
        <w:t>-</w:t>
      </w:r>
      <w:r w:rsidR="2B1E7288" w:rsidRPr="004830DF">
        <w:rPr>
          <w:rFonts w:asciiTheme="minorHAnsi" w:eastAsia="Calibri" w:hAnsiTheme="minorHAnsi" w:cs="Calibri"/>
          <w:color w:val="000000"/>
          <w:sz w:val="22"/>
          <w:szCs w:val="22"/>
        </w:rPr>
        <w:t xml:space="preserve">based practices </w:t>
      </w:r>
      <w:r w:rsidR="413CE1EE" w:rsidRPr="004830DF">
        <w:rPr>
          <w:rFonts w:asciiTheme="minorHAnsi" w:eastAsia="Calibri" w:hAnsiTheme="minorHAnsi" w:cs="Calibri"/>
          <w:color w:val="000000"/>
          <w:sz w:val="22"/>
          <w:szCs w:val="22"/>
        </w:rPr>
        <w:t xml:space="preserve">in mentoring. Doing so will </w:t>
      </w:r>
      <w:r w:rsidR="7317D2BF" w:rsidRPr="004830DF">
        <w:rPr>
          <w:rFonts w:asciiTheme="minorHAnsi" w:eastAsia="Calibri" w:hAnsiTheme="minorHAnsi" w:cs="Calibri"/>
          <w:color w:val="000000"/>
          <w:sz w:val="22"/>
          <w:szCs w:val="22"/>
        </w:rPr>
        <w:t xml:space="preserve">help to </w:t>
      </w:r>
      <w:r w:rsidR="2D22D75C" w:rsidRPr="004830DF">
        <w:rPr>
          <w:rFonts w:asciiTheme="minorHAnsi" w:eastAsia="Calibri" w:hAnsiTheme="minorHAnsi" w:cs="Calibri"/>
          <w:color w:val="000000"/>
          <w:sz w:val="22"/>
          <w:szCs w:val="22"/>
        </w:rPr>
        <w:t>achieve le</w:t>
      </w:r>
      <w:r w:rsidR="427F6E8B" w:rsidRPr="004830DF">
        <w:rPr>
          <w:rFonts w:asciiTheme="minorHAnsi" w:eastAsia="Calibri" w:hAnsiTheme="minorHAnsi" w:cs="Calibri"/>
          <w:color w:val="000000"/>
          <w:sz w:val="22"/>
          <w:szCs w:val="22"/>
        </w:rPr>
        <w:t>a</w:t>
      </w:r>
      <w:r w:rsidR="2D22D75C" w:rsidRPr="004830DF">
        <w:rPr>
          <w:rFonts w:asciiTheme="minorHAnsi" w:eastAsia="Calibri" w:hAnsiTheme="minorHAnsi" w:cs="Calibri"/>
          <w:color w:val="000000"/>
          <w:sz w:val="22"/>
          <w:szCs w:val="22"/>
        </w:rPr>
        <w:t>rning outcomes associated with the mentored experi</w:t>
      </w:r>
      <w:r w:rsidR="427F6E8B" w:rsidRPr="004830DF">
        <w:rPr>
          <w:rFonts w:asciiTheme="minorHAnsi" w:eastAsia="Calibri" w:hAnsiTheme="minorHAnsi" w:cs="Calibri"/>
          <w:color w:val="000000"/>
          <w:sz w:val="22"/>
          <w:szCs w:val="22"/>
        </w:rPr>
        <w:t>ence.</w:t>
      </w:r>
      <w:r w:rsidR="006214D0" w:rsidRPr="004830DF">
        <w:rPr>
          <w:rFonts w:asciiTheme="minorHAnsi" w:eastAsia="Calibri" w:hAnsiTheme="minorHAnsi" w:cs="Calibri"/>
          <w:color w:val="000000"/>
          <w:sz w:val="22"/>
          <w:szCs w:val="22"/>
        </w:rPr>
        <w:t xml:space="preserve"> </w:t>
      </w:r>
      <w:r w:rsidR="006214D0" w:rsidRPr="00A30A75">
        <w:rPr>
          <w:rFonts w:asciiTheme="minorHAnsi" w:eastAsia="Calibri" w:hAnsiTheme="minorHAnsi" w:cs="Calibri"/>
          <w:color w:val="000000"/>
          <w:sz w:val="22"/>
          <w:szCs w:val="22"/>
        </w:rPr>
        <w:t xml:space="preserve">Advisory </w:t>
      </w:r>
      <w:r w:rsidR="004D287C" w:rsidRPr="00A30A75">
        <w:rPr>
          <w:rFonts w:asciiTheme="minorHAnsi" w:eastAsia="Calibri" w:hAnsiTheme="minorHAnsi" w:cs="Calibri"/>
          <w:color w:val="000000"/>
          <w:sz w:val="22"/>
          <w:szCs w:val="22"/>
        </w:rPr>
        <w:t xml:space="preserve">council </w:t>
      </w:r>
      <w:r w:rsidR="006214D0" w:rsidRPr="00A30A75">
        <w:rPr>
          <w:rFonts w:asciiTheme="minorHAnsi" w:eastAsia="Calibri" w:hAnsiTheme="minorHAnsi" w:cs="Calibri"/>
          <w:color w:val="000000"/>
          <w:sz w:val="22"/>
          <w:szCs w:val="22"/>
        </w:rPr>
        <w:t>will discuss how to link mentoring training with the mentored undergraduate programs from Task #</w:t>
      </w:r>
      <w:r w:rsidR="004830DF" w:rsidRPr="00A30A75">
        <w:rPr>
          <w:rFonts w:asciiTheme="minorHAnsi" w:eastAsia="Calibri" w:hAnsiTheme="minorHAnsi" w:cs="Calibri"/>
          <w:color w:val="000000"/>
          <w:sz w:val="22"/>
          <w:szCs w:val="22"/>
        </w:rPr>
        <w:t xml:space="preserve">5 </w:t>
      </w:r>
      <w:r w:rsidR="006214D0" w:rsidRPr="00A30A75">
        <w:rPr>
          <w:rFonts w:asciiTheme="minorHAnsi" w:eastAsia="Calibri" w:hAnsiTheme="minorHAnsi" w:cs="Calibri"/>
          <w:color w:val="000000"/>
          <w:sz w:val="22"/>
          <w:szCs w:val="22"/>
        </w:rPr>
        <w:t>below.</w:t>
      </w:r>
    </w:p>
    <w:p w14:paraId="4F3C243E"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79C3E2A9" w14:textId="6D14D9C0" w:rsidR="3DDF8B28"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Resources Needed:</w:t>
      </w:r>
      <w:r w:rsidR="3DDF8B28" w:rsidRPr="004830DF">
        <w:rPr>
          <w:rFonts w:asciiTheme="minorHAnsi" w:eastAsia="Calibri" w:hAnsiTheme="minorHAnsi" w:cs="Calibri"/>
          <w:color w:val="000000"/>
          <w:sz w:val="22"/>
          <w:szCs w:val="22"/>
        </w:rPr>
        <w:t xml:space="preserve"> </w:t>
      </w:r>
      <w:r w:rsidR="3DDF8B28" w:rsidRPr="004830DF">
        <w:rPr>
          <w:rFonts w:asciiTheme="minorHAnsi" w:eastAsia="Calibri" w:hAnsiTheme="minorHAnsi" w:cs="Calibri"/>
          <w:color w:val="000000" w:themeColor="text1"/>
          <w:sz w:val="22"/>
          <w:szCs w:val="22"/>
        </w:rPr>
        <w:t>Team to develop curriculum for this series, individual/team to lead the workshops, possible compensation for team members.</w:t>
      </w:r>
    </w:p>
    <w:p w14:paraId="33E521F9"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78551B87" w14:textId="53F283B9"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2023305B" w:rsidRPr="004830DF">
        <w:rPr>
          <w:rFonts w:asciiTheme="minorHAnsi" w:eastAsia="Calibri" w:hAnsiTheme="minorHAnsi" w:cs="Calibri"/>
          <w:color w:val="000000"/>
          <w:sz w:val="22"/>
          <w:szCs w:val="22"/>
        </w:rPr>
        <w:t>D</w:t>
      </w:r>
      <w:r w:rsidR="2E3BAB46" w:rsidRPr="004830DF">
        <w:rPr>
          <w:rFonts w:asciiTheme="minorHAnsi" w:eastAsia="Calibri" w:hAnsiTheme="minorHAnsi" w:cs="Calibri"/>
          <w:color w:val="000000"/>
          <w:sz w:val="22"/>
          <w:szCs w:val="22"/>
        </w:rPr>
        <w:t xml:space="preserve">evelop workshops </w:t>
      </w:r>
      <w:r w:rsidR="343185A5" w:rsidRPr="004830DF">
        <w:rPr>
          <w:rFonts w:asciiTheme="minorHAnsi" w:eastAsia="Calibri" w:hAnsiTheme="minorHAnsi" w:cs="Calibri"/>
          <w:color w:val="000000"/>
          <w:sz w:val="22"/>
          <w:szCs w:val="22"/>
        </w:rPr>
        <w:t xml:space="preserve">in </w:t>
      </w:r>
      <w:proofErr w:type="gramStart"/>
      <w:r w:rsidR="00F37E17" w:rsidRPr="004830DF">
        <w:rPr>
          <w:rFonts w:asciiTheme="minorHAnsi" w:eastAsia="Calibri" w:hAnsiTheme="minorHAnsi" w:cs="Calibri"/>
          <w:color w:val="000000"/>
          <w:sz w:val="22"/>
          <w:szCs w:val="22"/>
        </w:rPr>
        <w:t>Spring</w:t>
      </w:r>
      <w:proofErr w:type="gramEnd"/>
      <w:r w:rsidR="00F37E17" w:rsidRPr="004830DF">
        <w:rPr>
          <w:rFonts w:asciiTheme="minorHAnsi" w:eastAsia="Calibri" w:hAnsiTheme="minorHAnsi" w:cs="Calibri"/>
          <w:color w:val="000000"/>
          <w:sz w:val="22"/>
          <w:szCs w:val="22"/>
        </w:rPr>
        <w:t xml:space="preserve"> 2018</w:t>
      </w:r>
      <w:r w:rsidR="343185A5" w:rsidRPr="004830DF">
        <w:rPr>
          <w:rFonts w:asciiTheme="minorHAnsi" w:eastAsia="Calibri" w:hAnsiTheme="minorHAnsi" w:cs="Calibri"/>
          <w:color w:val="000000"/>
          <w:sz w:val="22"/>
          <w:szCs w:val="22"/>
        </w:rPr>
        <w:t>.</w:t>
      </w:r>
      <w:r w:rsidR="2023305B" w:rsidRPr="004830DF">
        <w:rPr>
          <w:rFonts w:asciiTheme="minorHAnsi" w:eastAsia="Calibri" w:hAnsiTheme="minorHAnsi" w:cs="Calibri"/>
          <w:color w:val="000000"/>
          <w:sz w:val="22"/>
          <w:szCs w:val="22"/>
        </w:rPr>
        <w:t xml:space="preserve"> </w:t>
      </w:r>
    </w:p>
    <w:p w14:paraId="740E1495"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5B3892C9" w14:textId="19B43C7B"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w:t>
      </w:r>
      <w:r w:rsidR="343185A5" w:rsidRPr="004830DF">
        <w:rPr>
          <w:rFonts w:asciiTheme="minorHAnsi" w:eastAsia="Calibri" w:hAnsiTheme="minorHAnsi" w:cs="Calibri"/>
          <w:color w:val="000000"/>
          <w:sz w:val="22"/>
          <w:szCs w:val="22"/>
        </w:rPr>
        <w:t>Deliver</w:t>
      </w:r>
      <w:r w:rsidR="6DAA615C" w:rsidRPr="004830DF">
        <w:rPr>
          <w:rFonts w:asciiTheme="minorHAnsi" w:eastAsia="Calibri" w:hAnsiTheme="minorHAnsi" w:cs="Calibri"/>
          <w:color w:val="000000"/>
          <w:sz w:val="22"/>
          <w:szCs w:val="22"/>
        </w:rPr>
        <w:t xml:space="preserve"> series in </w:t>
      </w:r>
      <w:proofErr w:type="gramStart"/>
      <w:r w:rsidR="00F37E17" w:rsidRPr="004830DF">
        <w:rPr>
          <w:rFonts w:asciiTheme="minorHAnsi" w:eastAsia="Calibri" w:hAnsiTheme="minorHAnsi" w:cs="Calibri"/>
          <w:color w:val="000000"/>
          <w:sz w:val="22"/>
          <w:szCs w:val="22"/>
        </w:rPr>
        <w:t>Fall</w:t>
      </w:r>
      <w:proofErr w:type="gramEnd"/>
      <w:r w:rsidR="00F37E17" w:rsidRPr="004830DF">
        <w:rPr>
          <w:rFonts w:asciiTheme="minorHAnsi" w:eastAsia="Calibri" w:hAnsiTheme="minorHAnsi" w:cs="Calibri"/>
          <w:color w:val="000000"/>
          <w:sz w:val="22"/>
          <w:szCs w:val="22"/>
        </w:rPr>
        <w:t xml:space="preserve"> 2018</w:t>
      </w:r>
      <w:r w:rsidR="6DAA615C" w:rsidRPr="004830DF">
        <w:rPr>
          <w:rFonts w:asciiTheme="minorHAnsi" w:eastAsia="Calibri" w:hAnsiTheme="minorHAnsi" w:cs="Calibri"/>
          <w:color w:val="000000"/>
          <w:sz w:val="22"/>
          <w:szCs w:val="22"/>
        </w:rPr>
        <w:t>.</w:t>
      </w:r>
    </w:p>
    <w:p w14:paraId="24641033"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55AACF0D" w14:textId="1D00F67C" w:rsidR="086B3CC2"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w:t>
      </w:r>
      <w:r w:rsidR="00F37E17" w:rsidRPr="004830DF">
        <w:rPr>
          <w:rFonts w:asciiTheme="minorHAnsi" w:eastAsia="Calibri" w:hAnsiTheme="minorHAnsi" w:cs="Calibri"/>
          <w:color w:val="000000" w:themeColor="text1"/>
          <w:sz w:val="22"/>
          <w:szCs w:val="22"/>
        </w:rPr>
        <w:t xml:space="preserve">Center for Teaching &amp; Learning, Office of Research </w:t>
      </w:r>
      <w:r w:rsidR="004D287C" w:rsidRPr="004830DF">
        <w:rPr>
          <w:rFonts w:asciiTheme="minorHAnsi" w:eastAsia="Calibri" w:hAnsiTheme="minorHAnsi" w:cs="Calibri"/>
          <w:color w:val="000000" w:themeColor="text1"/>
          <w:sz w:val="22"/>
          <w:szCs w:val="22"/>
        </w:rPr>
        <w:t xml:space="preserve">and </w:t>
      </w:r>
      <w:r w:rsidR="00F37E17" w:rsidRPr="004830DF">
        <w:rPr>
          <w:rFonts w:asciiTheme="minorHAnsi" w:eastAsia="Calibri" w:hAnsiTheme="minorHAnsi" w:cs="Calibri"/>
          <w:color w:val="000000" w:themeColor="text1"/>
          <w:sz w:val="22"/>
          <w:szCs w:val="22"/>
        </w:rPr>
        <w:t>Sponsored Programs, and selected individuals recommended by the advisory council.</w:t>
      </w:r>
    </w:p>
    <w:p w14:paraId="4C73662F" w14:textId="77777777"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sz w:val="22"/>
          <w:szCs w:val="22"/>
        </w:rPr>
      </w:pPr>
    </w:p>
    <w:p w14:paraId="0AF9E130" w14:textId="66EBD221"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D443BE" w:rsidRPr="004830DF">
        <w:rPr>
          <w:rFonts w:asciiTheme="minorHAnsi" w:eastAsia="Calibri" w:hAnsiTheme="minorHAnsi" w:cs="Calibri"/>
          <w:b/>
          <w:bCs/>
          <w:color w:val="000000"/>
          <w:sz w:val="22"/>
          <w:szCs w:val="22"/>
          <w:u w:val="single"/>
        </w:rPr>
        <w:t>4</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Provide appropriate </w:t>
      </w:r>
      <w:r w:rsidR="43CD654B" w:rsidRPr="004830DF">
        <w:rPr>
          <w:rFonts w:asciiTheme="minorHAnsi" w:eastAsia="Calibri" w:hAnsiTheme="minorHAnsi" w:cs="Calibri"/>
          <w:color w:val="000000"/>
          <w:sz w:val="22"/>
          <w:szCs w:val="22"/>
        </w:rPr>
        <w:t>recognition and support for</w:t>
      </w:r>
      <w:r w:rsidRPr="004830DF">
        <w:rPr>
          <w:rFonts w:asciiTheme="minorHAnsi" w:eastAsia="Calibri" w:hAnsiTheme="minorHAnsi" w:cs="Calibri"/>
          <w:color w:val="000000"/>
          <w:sz w:val="22"/>
          <w:szCs w:val="22"/>
        </w:rPr>
        <w:t xml:space="preserve"> those faculty engaging in </w:t>
      </w:r>
      <w:r w:rsidR="00666A84" w:rsidRPr="004830DF">
        <w:rPr>
          <w:rFonts w:asciiTheme="minorHAnsi" w:eastAsia="Calibri" w:hAnsiTheme="minorHAnsi" w:cs="Calibri"/>
          <w:color w:val="000000"/>
          <w:sz w:val="22"/>
          <w:szCs w:val="22"/>
        </w:rPr>
        <w:t>mentored student research and creative activities.</w:t>
      </w:r>
      <w:r w:rsidR="460337A6" w:rsidRPr="004830DF">
        <w:rPr>
          <w:rFonts w:asciiTheme="minorHAnsi" w:eastAsia="Calibri" w:hAnsiTheme="minorHAnsi" w:cs="Calibri"/>
          <w:color w:val="000000"/>
          <w:sz w:val="22"/>
          <w:szCs w:val="22"/>
        </w:rPr>
        <w:t xml:space="preserve"> The council established in </w:t>
      </w:r>
      <w:r w:rsidR="00896BF8" w:rsidRPr="004830DF">
        <w:rPr>
          <w:rFonts w:asciiTheme="minorHAnsi" w:eastAsia="Calibri" w:hAnsiTheme="minorHAnsi" w:cs="Calibri"/>
          <w:color w:val="000000"/>
          <w:sz w:val="22"/>
          <w:szCs w:val="22"/>
        </w:rPr>
        <w:t xml:space="preserve">Action Step #3, </w:t>
      </w:r>
      <w:r w:rsidR="460337A6" w:rsidRPr="004830DF">
        <w:rPr>
          <w:rFonts w:asciiTheme="minorHAnsi" w:eastAsia="Calibri" w:hAnsiTheme="minorHAnsi" w:cs="Calibri"/>
          <w:color w:val="000000"/>
          <w:sz w:val="22"/>
          <w:szCs w:val="22"/>
        </w:rPr>
        <w:t xml:space="preserve">Task #2 will coordinate implementation of this </w:t>
      </w:r>
      <w:r w:rsidR="63B65151" w:rsidRPr="004830DF">
        <w:rPr>
          <w:rFonts w:asciiTheme="minorHAnsi" w:eastAsia="Calibri" w:hAnsiTheme="minorHAnsi" w:cs="Calibri"/>
          <w:color w:val="000000"/>
          <w:sz w:val="22"/>
          <w:szCs w:val="22"/>
        </w:rPr>
        <w:t>task.</w:t>
      </w:r>
    </w:p>
    <w:p w14:paraId="336AE798" w14:textId="7937F038" w:rsidR="48C32D04" w:rsidRPr="004830DF" w:rsidRDefault="48C32D04"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4991BE9E" w14:textId="02BDBBE3" w:rsidR="004D287C" w:rsidRPr="004830DF" w:rsidRDefault="00444025" w:rsidP="004830DF">
      <w:pPr>
        <w:pStyle w:val="NormalWeb"/>
        <w:spacing w:before="0" w:beforeAutospacing="0" w:after="0" w:afterAutospacing="0"/>
        <w:ind w:left="1440"/>
        <w:rPr>
          <w:rFonts w:asciiTheme="minorHAnsi" w:eastAsia="Calibri" w:hAnsiTheme="minorHAnsi" w:cs="Calibri"/>
          <w:sz w:val="22"/>
          <w:szCs w:val="22"/>
        </w:rPr>
      </w:pPr>
      <w:r w:rsidRPr="004830DF">
        <w:rPr>
          <w:rFonts w:asciiTheme="minorHAnsi" w:eastAsia="Calibri" w:hAnsiTheme="minorHAnsi" w:cs="Calibri"/>
          <w:color w:val="000000"/>
          <w:sz w:val="22"/>
          <w:szCs w:val="22"/>
        </w:rPr>
        <w:t xml:space="preserve">Explanation: </w:t>
      </w:r>
      <w:r w:rsidR="1169B63C" w:rsidRPr="004830DF">
        <w:rPr>
          <w:rFonts w:asciiTheme="minorHAnsi" w:eastAsia="Calibri" w:hAnsiTheme="minorHAnsi" w:cs="Calibri"/>
          <w:color w:val="000000"/>
          <w:sz w:val="22"/>
          <w:szCs w:val="22"/>
        </w:rPr>
        <w:t>Mentored student research is a valuable,</w:t>
      </w:r>
      <w:r w:rsidR="63F349A7" w:rsidRPr="004830DF">
        <w:rPr>
          <w:rFonts w:asciiTheme="minorHAnsi" w:eastAsia="Calibri" w:hAnsiTheme="minorHAnsi" w:cs="Calibri"/>
          <w:sz w:val="22"/>
          <w:szCs w:val="22"/>
        </w:rPr>
        <w:t xml:space="preserve"> high-impact practice that fosters transformative experiences for students</w:t>
      </w:r>
      <w:r w:rsidR="7C4BE3E9" w:rsidRPr="004830DF">
        <w:rPr>
          <w:rFonts w:asciiTheme="minorHAnsi" w:eastAsia="Calibri" w:hAnsiTheme="minorHAnsi" w:cs="Calibri"/>
          <w:sz w:val="22"/>
          <w:szCs w:val="22"/>
        </w:rPr>
        <w:t xml:space="preserve"> </w:t>
      </w:r>
      <w:r w:rsidR="2C9F3FAA" w:rsidRPr="004830DF">
        <w:rPr>
          <w:rFonts w:asciiTheme="minorHAnsi" w:eastAsia="Calibri" w:hAnsiTheme="minorHAnsi" w:cs="Calibri"/>
          <w:sz w:val="22"/>
          <w:szCs w:val="22"/>
        </w:rPr>
        <w:t xml:space="preserve">but </w:t>
      </w:r>
      <w:r w:rsidR="7C4BE3E9" w:rsidRPr="004830DF">
        <w:rPr>
          <w:rFonts w:asciiTheme="minorHAnsi" w:eastAsia="Calibri" w:hAnsiTheme="minorHAnsi" w:cs="Calibri"/>
          <w:sz w:val="22"/>
          <w:szCs w:val="22"/>
        </w:rPr>
        <w:t>is time consuming for faculty. Therefore,</w:t>
      </w:r>
      <w:r w:rsidR="63F349A7" w:rsidRPr="004830DF">
        <w:rPr>
          <w:rFonts w:asciiTheme="minorHAnsi" w:eastAsia="Calibri" w:hAnsiTheme="minorHAnsi" w:cs="Calibri"/>
          <w:sz w:val="22"/>
          <w:szCs w:val="22"/>
        </w:rPr>
        <w:t xml:space="preserve"> </w:t>
      </w:r>
      <w:r w:rsidR="48C32D04" w:rsidRPr="004830DF">
        <w:rPr>
          <w:rFonts w:asciiTheme="minorHAnsi" w:eastAsia="Calibri" w:hAnsiTheme="minorHAnsi" w:cs="Calibri"/>
          <w:sz w:val="22"/>
          <w:szCs w:val="22"/>
        </w:rPr>
        <w:t>we propose that recognition and support be provided to faculty who engage in this important work. This would include but not be limited to the following:</w:t>
      </w:r>
    </w:p>
    <w:p w14:paraId="31AE2C73" w14:textId="36188555" w:rsidR="004D287C" w:rsidRPr="004830DF" w:rsidRDefault="48C32D04" w:rsidP="004830DF">
      <w:pPr>
        <w:pStyle w:val="NormalWeb"/>
        <w:numPr>
          <w:ilvl w:val="0"/>
          <w:numId w:val="9"/>
        </w:numPr>
        <w:spacing w:before="0" w:beforeAutospacing="0" w:after="0" w:afterAutospacing="0"/>
        <w:rPr>
          <w:rFonts w:asciiTheme="minorHAnsi" w:eastAsiaTheme="minorEastAsia" w:hAnsiTheme="minorHAnsi" w:cstheme="minorEastAsia"/>
          <w:sz w:val="22"/>
          <w:szCs w:val="22"/>
        </w:rPr>
      </w:pPr>
      <w:r w:rsidRPr="004830DF">
        <w:rPr>
          <w:rFonts w:asciiTheme="minorHAnsi" w:eastAsia="Calibri" w:hAnsiTheme="minorHAnsi" w:cs="Calibri"/>
          <w:sz w:val="22"/>
          <w:szCs w:val="22"/>
        </w:rPr>
        <w:lastRenderedPageBreak/>
        <w:t>recognition similar to the awards and honors available to faculty who are excellent in other areas (e.g</w:t>
      </w:r>
      <w:r w:rsidRPr="00D72220">
        <w:rPr>
          <w:rFonts w:asciiTheme="minorHAnsi" w:eastAsia="Calibri" w:hAnsiTheme="minorHAnsi" w:cs="Calibri"/>
          <w:sz w:val="22"/>
          <w:szCs w:val="22"/>
        </w:rPr>
        <w:t xml:space="preserve">., </w:t>
      </w:r>
      <w:r w:rsidR="00D72220" w:rsidRPr="00D72220">
        <w:rPr>
          <w:rFonts w:asciiTheme="minorHAnsi" w:eastAsia="Calibri" w:hAnsiTheme="minorHAnsi" w:cs="Calibri"/>
          <w:sz w:val="22"/>
          <w:szCs w:val="22"/>
        </w:rPr>
        <w:t>Teaching Excellence Awards</w:t>
      </w:r>
      <w:r w:rsidRPr="00D72220">
        <w:rPr>
          <w:rFonts w:asciiTheme="minorHAnsi" w:eastAsia="Calibri" w:hAnsiTheme="minorHAnsi" w:cs="Calibri"/>
          <w:sz w:val="22"/>
          <w:szCs w:val="22"/>
        </w:rPr>
        <w:t xml:space="preserve">, </w:t>
      </w:r>
      <w:r w:rsidR="00D72220" w:rsidRPr="00D72220">
        <w:rPr>
          <w:rFonts w:asciiTheme="minorHAnsi" w:eastAsia="Calibri" w:hAnsiTheme="minorHAnsi" w:cs="Calibri"/>
          <w:sz w:val="22"/>
          <w:szCs w:val="22"/>
        </w:rPr>
        <w:t>Faculty Achievement Award for Research, Faculty Achievement Award for Teaching</w:t>
      </w:r>
      <w:r w:rsidRPr="00D72220">
        <w:rPr>
          <w:rFonts w:asciiTheme="minorHAnsi" w:eastAsia="Calibri" w:hAnsiTheme="minorHAnsi" w:cs="Calibri"/>
          <w:sz w:val="22"/>
          <w:szCs w:val="22"/>
        </w:rPr>
        <w:t xml:space="preserve">, </w:t>
      </w:r>
      <w:r w:rsidR="00D72220" w:rsidRPr="00D72220">
        <w:rPr>
          <w:rFonts w:asciiTheme="minorHAnsi" w:eastAsia="Calibri" w:hAnsiTheme="minorHAnsi" w:cs="Calibri"/>
          <w:sz w:val="22"/>
          <w:szCs w:val="22"/>
        </w:rPr>
        <w:t>Service Learning Award</w:t>
      </w:r>
      <w:r w:rsidRPr="00D72220">
        <w:rPr>
          <w:rFonts w:asciiTheme="minorHAnsi" w:eastAsia="Calibri" w:hAnsiTheme="minorHAnsi" w:cs="Calibri"/>
          <w:sz w:val="22"/>
          <w:szCs w:val="22"/>
        </w:rPr>
        <w:t>)</w:t>
      </w:r>
      <w:r w:rsidR="062F8798" w:rsidRPr="00D72220">
        <w:rPr>
          <w:rFonts w:asciiTheme="minorHAnsi" w:eastAsia="Calibri" w:hAnsiTheme="minorHAnsi" w:cs="Calibri"/>
          <w:sz w:val="22"/>
          <w:szCs w:val="22"/>
        </w:rPr>
        <w:t>;</w:t>
      </w:r>
    </w:p>
    <w:p w14:paraId="3A173E30" w14:textId="6B6853C6" w:rsidR="004D287C" w:rsidRPr="004830DF" w:rsidRDefault="00097C53" w:rsidP="004830DF">
      <w:pPr>
        <w:pStyle w:val="NormalWeb"/>
        <w:numPr>
          <w:ilvl w:val="0"/>
          <w:numId w:val="9"/>
        </w:numPr>
        <w:spacing w:before="0" w:beforeAutospacing="0" w:after="0" w:afterAutospacing="0"/>
        <w:rPr>
          <w:rFonts w:asciiTheme="minorHAnsi" w:eastAsiaTheme="minorEastAsia" w:hAnsiTheme="minorHAnsi" w:cstheme="minorEastAsia"/>
          <w:sz w:val="22"/>
          <w:szCs w:val="22"/>
        </w:rPr>
      </w:pPr>
      <w:r w:rsidRPr="004830DF">
        <w:rPr>
          <w:rFonts w:asciiTheme="minorHAnsi" w:eastAsia="Calibri" w:hAnsiTheme="minorHAnsi" w:cs="Calibri"/>
          <w:sz w:val="22"/>
          <w:szCs w:val="22"/>
        </w:rPr>
        <w:t>resources</w:t>
      </w:r>
      <w:r w:rsidR="48C32D04" w:rsidRPr="004830DF">
        <w:rPr>
          <w:rFonts w:asciiTheme="minorHAnsi" w:eastAsia="Calibri" w:hAnsiTheme="minorHAnsi" w:cs="Calibri"/>
          <w:sz w:val="22"/>
          <w:szCs w:val="22"/>
        </w:rPr>
        <w:t xml:space="preserve"> available for faculty</w:t>
      </w:r>
      <w:r w:rsidR="5EDF2F1D" w:rsidRPr="004830DF">
        <w:rPr>
          <w:rFonts w:asciiTheme="minorHAnsi" w:eastAsia="Calibri" w:hAnsiTheme="minorHAnsi" w:cs="Calibri"/>
          <w:sz w:val="22"/>
          <w:szCs w:val="22"/>
        </w:rPr>
        <w:t>-stu</w:t>
      </w:r>
      <w:r w:rsidR="062F8798" w:rsidRPr="004830DF">
        <w:rPr>
          <w:rFonts w:asciiTheme="minorHAnsi" w:eastAsia="Calibri" w:hAnsiTheme="minorHAnsi" w:cs="Calibri"/>
          <w:sz w:val="22"/>
          <w:szCs w:val="22"/>
        </w:rPr>
        <w:t>dent</w:t>
      </w:r>
      <w:r w:rsidR="48C32D04" w:rsidRPr="004830DF">
        <w:rPr>
          <w:rFonts w:asciiTheme="minorHAnsi" w:eastAsia="Calibri" w:hAnsiTheme="minorHAnsi" w:cs="Calibri"/>
          <w:sz w:val="22"/>
          <w:szCs w:val="22"/>
        </w:rPr>
        <w:t xml:space="preserve"> research</w:t>
      </w:r>
      <w:r w:rsidR="062F8798" w:rsidRPr="004830DF">
        <w:rPr>
          <w:rFonts w:asciiTheme="minorHAnsi" w:eastAsia="Calibri" w:hAnsiTheme="minorHAnsi" w:cs="Calibri"/>
          <w:sz w:val="22"/>
          <w:szCs w:val="22"/>
        </w:rPr>
        <w:t xml:space="preserve"> collaborations</w:t>
      </w:r>
      <w:r w:rsidRPr="004830DF">
        <w:rPr>
          <w:rFonts w:asciiTheme="minorHAnsi" w:eastAsia="Calibri" w:hAnsiTheme="minorHAnsi" w:cs="Calibri"/>
          <w:sz w:val="22"/>
          <w:szCs w:val="22"/>
        </w:rPr>
        <w:t xml:space="preserve"> (see </w:t>
      </w:r>
      <w:r w:rsidR="00896BF8" w:rsidRPr="004830DF">
        <w:rPr>
          <w:rFonts w:asciiTheme="minorHAnsi" w:eastAsia="Calibri" w:hAnsiTheme="minorHAnsi" w:cs="Calibri"/>
          <w:sz w:val="22"/>
          <w:szCs w:val="22"/>
        </w:rPr>
        <w:t xml:space="preserve">Action Step #3, </w:t>
      </w:r>
      <w:r w:rsidRPr="004830DF">
        <w:rPr>
          <w:rFonts w:asciiTheme="minorHAnsi" w:eastAsia="Calibri" w:hAnsiTheme="minorHAnsi" w:cs="Calibri"/>
          <w:sz w:val="22"/>
          <w:szCs w:val="22"/>
        </w:rPr>
        <w:t>Task #</w:t>
      </w:r>
      <w:r w:rsidR="00896BF8" w:rsidRPr="004830DF">
        <w:rPr>
          <w:rFonts w:asciiTheme="minorHAnsi" w:eastAsia="Calibri" w:hAnsiTheme="minorHAnsi" w:cs="Calibri"/>
          <w:sz w:val="22"/>
          <w:szCs w:val="22"/>
        </w:rPr>
        <w:t>5</w:t>
      </w:r>
      <w:r w:rsidRPr="004830DF">
        <w:rPr>
          <w:rFonts w:asciiTheme="minorHAnsi" w:eastAsia="Calibri" w:hAnsiTheme="minorHAnsi" w:cs="Calibri"/>
          <w:sz w:val="22"/>
          <w:szCs w:val="22"/>
        </w:rPr>
        <w:t>)</w:t>
      </w:r>
      <w:r w:rsidR="75D72F65" w:rsidRPr="004830DF">
        <w:rPr>
          <w:rFonts w:asciiTheme="minorHAnsi" w:eastAsia="Calibri" w:hAnsiTheme="minorHAnsi" w:cs="Calibri"/>
          <w:sz w:val="22"/>
          <w:szCs w:val="22"/>
        </w:rPr>
        <w:t>;</w:t>
      </w:r>
    </w:p>
    <w:p w14:paraId="55CC36B1" w14:textId="77777777" w:rsidR="004D287C" w:rsidRPr="004830DF" w:rsidRDefault="48C32D04" w:rsidP="004830DF">
      <w:pPr>
        <w:pStyle w:val="NormalWeb"/>
        <w:numPr>
          <w:ilvl w:val="0"/>
          <w:numId w:val="9"/>
        </w:numPr>
        <w:spacing w:before="0" w:beforeAutospacing="0" w:after="0" w:afterAutospacing="0"/>
        <w:rPr>
          <w:rFonts w:asciiTheme="minorHAnsi" w:eastAsiaTheme="minorEastAsia" w:hAnsiTheme="minorHAnsi" w:cstheme="minorEastAsia"/>
          <w:sz w:val="22"/>
          <w:szCs w:val="22"/>
        </w:rPr>
      </w:pPr>
      <w:r w:rsidRPr="004830DF">
        <w:rPr>
          <w:rFonts w:asciiTheme="minorHAnsi" w:eastAsia="Calibri" w:hAnsiTheme="minorHAnsi" w:cs="Calibri"/>
          <w:sz w:val="22"/>
          <w:szCs w:val="22"/>
        </w:rPr>
        <w:t>reduced teaching load available to faculty who demonstrate success in mentoring student research and creative activities</w:t>
      </w:r>
      <w:r w:rsidR="1B4D04F3" w:rsidRPr="004830DF">
        <w:rPr>
          <w:rFonts w:asciiTheme="minorHAnsi" w:eastAsia="Calibri" w:hAnsiTheme="minorHAnsi" w:cs="Calibri"/>
          <w:sz w:val="22"/>
          <w:szCs w:val="22"/>
        </w:rPr>
        <w:t>; and</w:t>
      </w:r>
    </w:p>
    <w:p w14:paraId="4D25CAC5" w14:textId="2BFFBD2B" w:rsidR="48C32D04" w:rsidRPr="004830DF" w:rsidRDefault="35D9ADE7" w:rsidP="004830DF">
      <w:pPr>
        <w:pStyle w:val="NormalWeb"/>
        <w:numPr>
          <w:ilvl w:val="0"/>
          <w:numId w:val="9"/>
        </w:numPr>
        <w:spacing w:before="0" w:beforeAutospacing="0" w:after="0" w:afterAutospacing="0"/>
        <w:rPr>
          <w:rFonts w:asciiTheme="minorHAnsi" w:eastAsiaTheme="minorEastAsia" w:hAnsiTheme="minorHAnsi" w:cstheme="minorEastAsia"/>
          <w:sz w:val="22"/>
          <w:szCs w:val="22"/>
        </w:rPr>
      </w:pPr>
      <w:proofErr w:type="gramStart"/>
      <w:r w:rsidRPr="004830DF">
        <w:rPr>
          <w:rFonts w:asciiTheme="minorHAnsi" w:eastAsia="Calibri" w:hAnsiTheme="minorHAnsi" w:cs="Calibri"/>
          <w:sz w:val="22"/>
          <w:szCs w:val="22"/>
        </w:rPr>
        <w:t>ensure</w:t>
      </w:r>
      <w:proofErr w:type="gramEnd"/>
      <w:r w:rsidRPr="004830DF">
        <w:rPr>
          <w:rFonts w:asciiTheme="minorHAnsi" w:eastAsia="Calibri" w:hAnsiTheme="minorHAnsi" w:cs="Calibri"/>
          <w:sz w:val="22"/>
          <w:szCs w:val="22"/>
        </w:rPr>
        <w:t xml:space="preserve"> that mentored student research can be highlighted/demonstrated </w:t>
      </w:r>
      <w:r w:rsidR="004D287C" w:rsidRPr="004830DF">
        <w:rPr>
          <w:rFonts w:asciiTheme="minorHAnsi" w:eastAsia="Calibri" w:hAnsiTheme="minorHAnsi" w:cs="Calibri"/>
          <w:sz w:val="22"/>
          <w:szCs w:val="22"/>
        </w:rPr>
        <w:t>on Faculty Activity Report</w:t>
      </w:r>
      <w:r w:rsidR="08E679B7" w:rsidRPr="004830DF">
        <w:rPr>
          <w:rFonts w:asciiTheme="minorHAnsi" w:eastAsia="Calibri" w:hAnsiTheme="minorHAnsi" w:cs="Calibri"/>
          <w:sz w:val="22"/>
          <w:szCs w:val="22"/>
        </w:rPr>
        <w:t xml:space="preserve"> and encourage departments to </w:t>
      </w:r>
      <w:r w:rsidR="5538ECE5" w:rsidRPr="004830DF">
        <w:rPr>
          <w:rFonts w:asciiTheme="minorHAnsi" w:eastAsia="Calibri" w:hAnsiTheme="minorHAnsi" w:cs="Calibri"/>
          <w:sz w:val="22"/>
          <w:szCs w:val="22"/>
        </w:rPr>
        <w:t>consider such contributions during evaluative processes.</w:t>
      </w:r>
    </w:p>
    <w:p w14:paraId="0E69C2F4" w14:textId="77777777" w:rsidR="00444025" w:rsidRPr="004830DF" w:rsidRDefault="00444025" w:rsidP="004830DF">
      <w:pPr>
        <w:pStyle w:val="NormalWeb"/>
        <w:spacing w:before="0" w:beforeAutospacing="0" w:after="0" w:afterAutospacing="0"/>
        <w:ind w:left="1440"/>
        <w:rPr>
          <w:rFonts w:asciiTheme="minorHAnsi" w:hAnsiTheme="minorHAnsi"/>
          <w:sz w:val="22"/>
          <w:szCs w:val="22"/>
        </w:rPr>
      </w:pPr>
    </w:p>
    <w:p w14:paraId="23B16EBF" w14:textId="2345B20F" w:rsidR="00097C53" w:rsidRPr="004830DF" w:rsidRDefault="00444025" w:rsidP="004830DF">
      <w:pPr>
        <w:pStyle w:val="NormalWeb"/>
        <w:spacing w:before="0" w:beforeAutospacing="0" w:after="0" w:afterAutospacing="0"/>
        <w:ind w:left="1440"/>
        <w:rPr>
          <w:rFonts w:asciiTheme="minorHAnsi" w:eastAsiaTheme="minorEastAsia" w:hAnsiTheme="minorHAnsi" w:cstheme="minorEastAsia"/>
          <w:sz w:val="22"/>
          <w:szCs w:val="22"/>
        </w:rPr>
      </w:pPr>
      <w:r w:rsidRPr="004830DF">
        <w:rPr>
          <w:rFonts w:asciiTheme="minorHAnsi" w:eastAsia="Calibri" w:hAnsiTheme="minorHAnsi" w:cs="Calibri"/>
          <w:sz w:val="22"/>
          <w:szCs w:val="22"/>
        </w:rPr>
        <w:t xml:space="preserve">Resources Needed: </w:t>
      </w:r>
      <w:r w:rsidR="00896BF8" w:rsidRPr="004830DF">
        <w:rPr>
          <w:rFonts w:asciiTheme="minorHAnsi" w:eastAsia="Calibri" w:hAnsiTheme="minorHAnsi" w:cs="Calibri"/>
          <w:sz w:val="22"/>
          <w:szCs w:val="22"/>
        </w:rPr>
        <w:t xml:space="preserve">collaboration </w:t>
      </w:r>
      <w:r w:rsidR="00097C53" w:rsidRPr="004830DF">
        <w:rPr>
          <w:rFonts w:asciiTheme="minorHAnsi" w:eastAsia="Calibri" w:hAnsiTheme="minorHAnsi" w:cs="Calibri"/>
          <w:sz w:val="22"/>
          <w:szCs w:val="22"/>
        </w:rPr>
        <w:t xml:space="preserve">with </w:t>
      </w:r>
      <w:r w:rsidR="00896BF8" w:rsidRPr="004830DF">
        <w:rPr>
          <w:rFonts w:asciiTheme="minorHAnsi" w:eastAsia="Calibri" w:hAnsiTheme="minorHAnsi" w:cs="Calibri"/>
          <w:sz w:val="22"/>
          <w:szCs w:val="22"/>
        </w:rPr>
        <w:t xml:space="preserve">the Office of </w:t>
      </w:r>
      <w:r w:rsidR="00097C53" w:rsidRPr="004830DF">
        <w:rPr>
          <w:rFonts w:asciiTheme="minorHAnsi" w:eastAsia="Calibri" w:hAnsiTheme="minorHAnsi" w:cs="Calibri"/>
          <w:sz w:val="22"/>
          <w:szCs w:val="22"/>
        </w:rPr>
        <w:t>Institutional Research to update FAR entry options</w:t>
      </w:r>
      <w:r w:rsidR="00896BF8" w:rsidRPr="004830DF">
        <w:rPr>
          <w:rFonts w:asciiTheme="minorHAnsi" w:eastAsia="Calibri" w:hAnsiTheme="minorHAnsi" w:cs="Calibri"/>
          <w:sz w:val="22"/>
          <w:szCs w:val="22"/>
        </w:rPr>
        <w:t>, c</w:t>
      </w:r>
      <w:r w:rsidR="00097C53" w:rsidRPr="004830DF">
        <w:rPr>
          <w:rFonts w:asciiTheme="minorHAnsi" w:eastAsia="Calibri" w:hAnsiTheme="minorHAnsi" w:cs="Calibri"/>
          <w:sz w:val="22"/>
          <w:szCs w:val="22"/>
        </w:rPr>
        <w:t>ollaboration with deans and appropriate committees to re-evaluate teaching load policy</w:t>
      </w:r>
      <w:r w:rsidR="00896BF8" w:rsidRPr="004830DF">
        <w:rPr>
          <w:rFonts w:asciiTheme="minorHAnsi" w:eastAsia="Calibri" w:hAnsiTheme="minorHAnsi" w:cs="Calibri"/>
          <w:sz w:val="22"/>
          <w:szCs w:val="22"/>
        </w:rPr>
        <w:t>, and f</w:t>
      </w:r>
      <w:r w:rsidR="00097C53" w:rsidRPr="004830DF">
        <w:rPr>
          <w:rFonts w:asciiTheme="minorHAnsi" w:eastAsia="Calibri" w:hAnsiTheme="minorHAnsi" w:cs="Calibri"/>
          <w:sz w:val="22"/>
          <w:szCs w:val="22"/>
        </w:rPr>
        <w:t xml:space="preserve">inancial resources (see </w:t>
      </w:r>
      <w:r w:rsidR="00896BF8" w:rsidRPr="004830DF">
        <w:rPr>
          <w:rFonts w:asciiTheme="minorHAnsi" w:eastAsia="Calibri" w:hAnsiTheme="minorHAnsi" w:cs="Calibri"/>
          <w:sz w:val="22"/>
          <w:szCs w:val="22"/>
        </w:rPr>
        <w:t xml:space="preserve">Action Step #3, </w:t>
      </w:r>
      <w:r w:rsidR="00097C53" w:rsidRPr="004830DF">
        <w:rPr>
          <w:rFonts w:asciiTheme="minorHAnsi" w:eastAsia="Calibri" w:hAnsiTheme="minorHAnsi" w:cs="Calibri"/>
          <w:sz w:val="22"/>
          <w:szCs w:val="22"/>
        </w:rPr>
        <w:t>Task #</w:t>
      </w:r>
      <w:r w:rsidR="00896BF8" w:rsidRPr="004830DF">
        <w:rPr>
          <w:rFonts w:asciiTheme="minorHAnsi" w:eastAsia="Calibri" w:hAnsiTheme="minorHAnsi" w:cs="Calibri"/>
          <w:sz w:val="22"/>
          <w:szCs w:val="22"/>
        </w:rPr>
        <w:t>5</w:t>
      </w:r>
      <w:r w:rsidR="00097C53" w:rsidRPr="004830DF">
        <w:rPr>
          <w:rFonts w:asciiTheme="minorHAnsi" w:eastAsia="Calibri" w:hAnsiTheme="minorHAnsi" w:cs="Calibri"/>
          <w:sz w:val="22"/>
          <w:szCs w:val="22"/>
        </w:rPr>
        <w:t>)</w:t>
      </w:r>
    </w:p>
    <w:p w14:paraId="0792620E" w14:textId="77777777" w:rsidR="00896BF8" w:rsidRPr="004830DF" w:rsidRDefault="00896BF8" w:rsidP="004830DF">
      <w:pPr>
        <w:pStyle w:val="NormalWeb"/>
        <w:spacing w:before="0" w:beforeAutospacing="0" w:after="0" w:afterAutospacing="0"/>
        <w:ind w:left="1440"/>
        <w:rPr>
          <w:rFonts w:asciiTheme="minorHAnsi" w:eastAsia="Calibri" w:hAnsiTheme="minorHAnsi" w:cs="Calibri"/>
          <w:color w:val="000000"/>
          <w:sz w:val="22"/>
          <w:szCs w:val="22"/>
        </w:rPr>
      </w:pPr>
    </w:p>
    <w:p w14:paraId="527D8C32" w14:textId="0D84120A"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00535741" w:rsidRPr="004830DF">
        <w:rPr>
          <w:rFonts w:asciiTheme="minorHAnsi" w:eastAsia="Calibri" w:hAnsiTheme="minorHAnsi" w:cs="Calibri"/>
          <w:color w:val="000000"/>
          <w:sz w:val="22"/>
          <w:szCs w:val="22"/>
        </w:rPr>
        <w:t>Because the above recommendations require that Tasks #1 and 2 be completed, there are no immediate targets until those tasks are accomplished.</w:t>
      </w:r>
    </w:p>
    <w:p w14:paraId="35783DE5" w14:textId="2A499A96"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sz w:val="22"/>
          <w:szCs w:val="22"/>
        </w:rPr>
      </w:pPr>
    </w:p>
    <w:p w14:paraId="113856BB" w14:textId="0F6997A6" w:rsidR="00535741" w:rsidRPr="004830DF" w:rsidRDefault="00444025" w:rsidP="004830DF">
      <w:pPr>
        <w:pStyle w:val="ListParagraph"/>
        <w:spacing w:line="240" w:lineRule="auto"/>
        <w:ind w:left="1440"/>
        <w:rPr>
          <w:rFonts w:eastAsia="Calibri" w:cs="Calibri"/>
          <w:color w:val="000000" w:themeColor="text1"/>
        </w:rPr>
      </w:pPr>
      <w:r w:rsidRPr="004830DF">
        <w:rPr>
          <w:rFonts w:eastAsia="Calibri" w:cs="Calibri"/>
          <w:color w:val="000000"/>
        </w:rPr>
        <w:t xml:space="preserve">Long-Range Targets: </w:t>
      </w:r>
      <w:r w:rsidR="00896BF8" w:rsidRPr="004830DF">
        <w:rPr>
          <w:rFonts w:eastAsia="Calibri" w:cs="Calibri"/>
          <w:color w:val="000000"/>
        </w:rPr>
        <w:t xml:space="preserve">establish recognition options in </w:t>
      </w:r>
      <w:proofErr w:type="gramStart"/>
      <w:r w:rsidR="00896BF8" w:rsidRPr="004830DF">
        <w:rPr>
          <w:rFonts w:eastAsia="Calibri" w:cs="Calibri"/>
          <w:color w:val="000000"/>
        </w:rPr>
        <w:t>Fall</w:t>
      </w:r>
      <w:proofErr w:type="gramEnd"/>
      <w:r w:rsidR="00896BF8" w:rsidRPr="004830DF">
        <w:rPr>
          <w:rFonts w:eastAsia="Calibri" w:cs="Calibri"/>
          <w:color w:val="000000"/>
        </w:rPr>
        <w:t xml:space="preserve"> 2019, have a culture shift in which mentored undergraduate research is valued by the university community and becomes a valued transformative student experience</w:t>
      </w:r>
    </w:p>
    <w:p w14:paraId="66536262" w14:textId="653E6B8B"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Impacted Departments: </w:t>
      </w:r>
      <w:r w:rsidR="00F6238C" w:rsidRPr="004830DF">
        <w:rPr>
          <w:rFonts w:asciiTheme="minorHAnsi" w:eastAsia="Calibri" w:hAnsiTheme="minorHAnsi" w:cs="Calibri"/>
          <w:color w:val="000000"/>
          <w:sz w:val="22"/>
          <w:szCs w:val="22"/>
        </w:rPr>
        <w:t>various</w:t>
      </w:r>
    </w:p>
    <w:p w14:paraId="123EC13D" w14:textId="025C941B"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sz w:val="22"/>
          <w:szCs w:val="22"/>
        </w:rPr>
      </w:pPr>
    </w:p>
    <w:p w14:paraId="3B7ACD06" w14:textId="2EAEF194"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b/>
          <w:bCs/>
          <w:color w:val="000000"/>
          <w:sz w:val="22"/>
          <w:szCs w:val="22"/>
          <w:u w:val="single"/>
        </w:rPr>
        <w:t>Task #</w:t>
      </w:r>
      <w:r w:rsidR="00896BF8" w:rsidRPr="004830DF">
        <w:rPr>
          <w:rFonts w:asciiTheme="minorHAnsi" w:eastAsia="Calibri" w:hAnsiTheme="minorHAnsi" w:cs="Calibri"/>
          <w:b/>
          <w:bCs/>
          <w:color w:val="000000"/>
          <w:sz w:val="22"/>
          <w:szCs w:val="22"/>
          <w:u w:val="single"/>
        </w:rPr>
        <w:t>5</w:t>
      </w:r>
      <w:r w:rsidRPr="004830DF">
        <w:rPr>
          <w:rFonts w:asciiTheme="minorHAnsi" w:eastAsia="Calibri" w:hAnsiTheme="minorHAnsi" w:cs="Calibri"/>
          <w:b/>
          <w:bCs/>
          <w:color w:val="000000"/>
          <w:sz w:val="22"/>
          <w:szCs w:val="22"/>
          <w:u w:val="single"/>
        </w:rPr>
        <w:t>:</w:t>
      </w:r>
      <w:r w:rsidRPr="004830DF">
        <w:rPr>
          <w:rFonts w:asciiTheme="minorHAnsi" w:eastAsia="Calibri" w:hAnsiTheme="minorHAnsi" w:cs="Calibri"/>
          <w:color w:val="000000"/>
          <w:sz w:val="22"/>
          <w:szCs w:val="22"/>
        </w:rPr>
        <w:t xml:space="preserve"> Provide appropriate funding resources </w:t>
      </w:r>
      <w:r w:rsidR="3E524B61" w:rsidRPr="004830DF">
        <w:rPr>
          <w:rFonts w:asciiTheme="minorHAnsi" w:eastAsia="Calibri" w:hAnsiTheme="minorHAnsi" w:cs="Calibri"/>
          <w:color w:val="000000"/>
          <w:sz w:val="22"/>
          <w:szCs w:val="22"/>
        </w:rPr>
        <w:t>to support</w:t>
      </w:r>
      <w:r w:rsidRPr="004830DF">
        <w:rPr>
          <w:rFonts w:asciiTheme="minorHAnsi" w:eastAsia="Calibri" w:hAnsiTheme="minorHAnsi" w:cs="Calibri"/>
          <w:color w:val="000000"/>
          <w:sz w:val="22"/>
          <w:szCs w:val="22"/>
        </w:rPr>
        <w:t xml:space="preserve"> </w:t>
      </w:r>
      <w:r w:rsidR="00666A84" w:rsidRPr="004830DF">
        <w:rPr>
          <w:rFonts w:asciiTheme="minorHAnsi" w:eastAsia="Calibri" w:hAnsiTheme="minorHAnsi" w:cs="Calibri"/>
          <w:color w:val="000000"/>
          <w:sz w:val="22"/>
          <w:szCs w:val="22"/>
        </w:rPr>
        <w:t>mentored student research</w:t>
      </w:r>
      <w:r w:rsidR="00F45500" w:rsidRPr="004830DF">
        <w:rPr>
          <w:rFonts w:asciiTheme="minorHAnsi" w:eastAsia="Calibri" w:hAnsiTheme="minorHAnsi" w:cs="Calibri"/>
          <w:color w:val="000000"/>
          <w:sz w:val="22"/>
          <w:szCs w:val="22"/>
        </w:rPr>
        <w:t xml:space="preserve"> and creative activities</w:t>
      </w:r>
      <w:r w:rsidR="00666A84" w:rsidRPr="004830DF">
        <w:rPr>
          <w:rFonts w:asciiTheme="minorHAnsi" w:eastAsia="Calibri" w:hAnsiTheme="minorHAnsi" w:cs="Calibri"/>
          <w:color w:val="000000"/>
          <w:sz w:val="22"/>
          <w:szCs w:val="22"/>
        </w:rPr>
        <w:t>.</w:t>
      </w:r>
    </w:p>
    <w:p w14:paraId="26FCEFBA" w14:textId="4A58798D" w:rsidR="3E524B61" w:rsidRPr="004830DF" w:rsidRDefault="3E524B61"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064C21CC" w14:textId="30303645"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Explanation: </w:t>
      </w:r>
      <w:r w:rsidR="06BAC25B" w:rsidRPr="004830DF">
        <w:rPr>
          <w:rFonts w:asciiTheme="minorHAnsi" w:eastAsia="Calibri" w:hAnsiTheme="minorHAnsi" w:cs="Calibri"/>
          <w:color w:val="000000"/>
          <w:sz w:val="22"/>
          <w:szCs w:val="22"/>
        </w:rPr>
        <w:t>Because the strategic plan prioritizes</w:t>
      </w:r>
      <w:r w:rsidR="7800EF1F" w:rsidRPr="004830DF">
        <w:rPr>
          <w:rFonts w:asciiTheme="minorHAnsi" w:eastAsia="Calibri" w:hAnsiTheme="minorHAnsi" w:cs="Calibri"/>
          <w:color w:val="000000"/>
          <w:sz w:val="22"/>
          <w:szCs w:val="22"/>
        </w:rPr>
        <w:t xml:space="preserve"> </w:t>
      </w:r>
      <w:r w:rsidR="68DA5B4B" w:rsidRPr="004830DF">
        <w:rPr>
          <w:rFonts w:asciiTheme="minorHAnsi" w:eastAsia="Calibri" w:hAnsiTheme="minorHAnsi" w:cs="Calibri"/>
          <w:color w:val="000000"/>
          <w:sz w:val="22"/>
          <w:szCs w:val="22"/>
        </w:rPr>
        <w:t>tran</w:t>
      </w:r>
      <w:r w:rsidR="40BA67E4" w:rsidRPr="004830DF">
        <w:rPr>
          <w:rFonts w:asciiTheme="minorHAnsi" w:eastAsia="Calibri" w:hAnsiTheme="minorHAnsi" w:cs="Calibri"/>
          <w:color w:val="000000"/>
          <w:sz w:val="22"/>
          <w:szCs w:val="22"/>
        </w:rPr>
        <w:t>s</w:t>
      </w:r>
      <w:r w:rsidR="68DA5B4B" w:rsidRPr="004830DF">
        <w:rPr>
          <w:rFonts w:asciiTheme="minorHAnsi" w:eastAsia="Calibri" w:hAnsiTheme="minorHAnsi" w:cs="Calibri"/>
          <w:color w:val="000000"/>
          <w:sz w:val="22"/>
          <w:szCs w:val="22"/>
        </w:rPr>
        <w:t>formational student experiences</w:t>
      </w:r>
      <w:r w:rsidR="0240FCC5" w:rsidRPr="004830DF">
        <w:rPr>
          <w:rFonts w:asciiTheme="minorHAnsi" w:eastAsia="Calibri" w:hAnsiTheme="minorHAnsi" w:cs="Calibri"/>
          <w:color w:val="000000"/>
          <w:sz w:val="22"/>
          <w:szCs w:val="22"/>
        </w:rPr>
        <w:t>,</w:t>
      </w:r>
      <w:r w:rsidR="68DA5B4B" w:rsidRPr="004830DF">
        <w:rPr>
          <w:rFonts w:asciiTheme="minorHAnsi" w:eastAsia="Calibri" w:hAnsiTheme="minorHAnsi" w:cs="Calibri"/>
          <w:color w:val="000000"/>
          <w:sz w:val="22"/>
          <w:szCs w:val="22"/>
        </w:rPr>
        <w:t xml:space="preserve"> </w:t>
      </w:r>
      <w:r w:rsidR="3BD7B428" w:rsidRPr="004830DF">
        <w:rPr>
          <w:rFonts w:asciiTheme="minorHAnsi" w:eastAsia="Calibri" w:hAnsiTheme="minorHAnsi" w:cs="Calibri"/>
          <w:color w:val="000000"/>
          <w:sz w:val="22"/>
          <w:szCs w:val="22"/>
        </w:rPr>
        <w:t xml:space="preserve">funding must be dedicated to support </w:t>
      </w:r>
      <w:r w:rsidR="4CB7DF49" w:rsidRPr="004830DF">
        <w:rPr>
          <w:rFonts w:asciiTheme="minorHAnsi" w:eastAsia="Calibri" w:hAnsiTheme="minorHAnsi" w:cs="Calibri"/>
          <w:color w:val="000000"/>
          <w:sz w:val="22"/>
          <w:szCs w:val="22"/>
        </w:rPr>
        <w:t xml:space="preserve">mentored </w:t>
      </w:r>
      <w:r w:rsidR="25402189" w:rsidRPr="004830DF">
        <w:rPr>
          <w:rFonts w:asciiTheme="minorHAnsi" w:eastAsia="Calibri" w:hAnsiTheme="minorHAnsi" w:cs="Calibri"/>
          <w:color w:val="000000"/>
          <w:sz w:val="22"/>
          <w:szCs w:val="22"/>
        </w:rPr>
        <w:t xml:space="preserve">undergraduate </w:t>
      </w:r>
      <w:r w:rsidR="4CB7DF49" w:rsidRPr="004830DF">
        <w:rPr>
          <w:rFonts w:asciiTheme="minorHAnsi" w:eastAsia="Calibri" w:hAnsiTheme="minorHAnsi" w:cs="Calibri"/>
          <w:color w:val="000000"/>
          <w:sz w:val="22"/>
          <w:szCs w:val="22"/>
        </w:rPr>
        <w:t>student research</w:t>
      </w:r>
      <w:r w:rsidR="41CA8609" w:rsidRPr="004830DF">
        <w:rPr>
          <w:rFonts w:asciiTheme="minorHAnsi" w:eastAsia="Calibri" w:hAnsiTheme="minorHAnsi" w:cs="Calibri"/>
          <w:color w:val="000000"/>
          <w:sz w:val="22"/>
          <w:szCs w:val="22"/>
        </w:rPr>
        <w:t>. This committee thinks that any funding dedicated</w:t>
      </w:r>
      <w:r w:rsidR="4CB7DF49" w:rsidRPr="004830DF">
        <w:rPr>
          <w:rFonts w:asciiTheme="minorHAnsi" w:eastAsia="Calibri" w:hAnsiTheme="minorHAnsi" w:cs="Calibri"/>
          <w:color w:val="000000"/>
          <w:sz w:val="22"/>
          <w:szCs w:val="22"/>
        </w:rPr>
        <w:t xml:space="preserve"> to this end should be focused </w:t>
      </w:r>
      <w:r w:rsidR="5650F6E2" w:rsidRPr="004830DF">
        <w:rPr>
          <w:rFonts w:asciiTheme="minorHAnsi" w:eastAsia="Calibri" w:hAnsiTheme="minorHAnsi" w:cs="Calibri"/>
          <w:color w:val="000000"/>
          <w:sz w:val="22"/>
          <w:szCs w:val="22"/>
        </w:rPr>
        <w:t xml:space="preserve">on </w:t>
      </w:r>
      <w:r w:rsidR="28BF732B" w:rsidRPr="004830DF">
        <w:rPr>
          <w:rFonts w:asciiTheme="minorHAnsi" w:eastAsia="Calibri" w:hAnsiTheme="minorHAnsi" w:cs="Calibri"/>
          <w:color w:val="000000"/>
          <w:sz w:val="22"/>
          <w:szCs w:val="22"/>
        </w:rPr>
        <w:t>directly supporting students who are taking part</w:t>
      </w:r>
      <w:r w:rsidR="25402189" w:rsidRPr="004830DF">
        <w:rPr>
          <w:rFonts w:asciiTheme="minorHAnsi" w:eastAsia="Calibri" w:hAnsiTheme="minorHAnsi" w:cs="Calibri"/>
          <w:color w:val="000000"/>
          <w:sz w:val="22"/>
          <w:szCs w:val="22"/>
        </w:rPr>
        <w:t xml:space="preserve"> in research activities.</w:t>
      </w:r>
    </w:p>
    <w:p w14:paraId="123D5595" w14:textId="2CA0E190" w:rsidR="00444025" w:rsidRPr="004830DF" w:rsidRDefault="4F08126E"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themeColor="text1"/>
          <w:sz w:val="22"/>
          <w:szCs w:val="22"/>
        </w:rPr>
        <w:t xml:space="preserve">We also </w:t>
      </w:r>
      <w:r w:rsidR="21000A29" w:rsidRPr="004830DF">
        <w:rPr>
          <w:rFonts w:asciiTheme="minorHAnsi" w:eastAsia="Calibri" w:hAnsiTheme="minorHAnsi" w:cs="Calibri"/>
          <w:color w:val="000000" w:themeColor="text1"/>
          <w:sz w:val="22"/>
          <w:szCs w:val="22"/>
        </w:rPr>
        <w:t xml:space="preserve">think </w:t>
      </w:r>
      <w:r w:rsidRPr="004830DF">
        <w:rPr>
          <w:rFonts w:asciiTheme="minorHAnsi" w:eastAsia="Calibri" w:hAnsiTheme="minorHAnsi" w:cs="Calibri"/>
          <w:color w:val="000000" w:themeColor="text1"/>
          <w:sz w:val="22"/>
          <w:szCs w:val="22"/>
        </w:rPr>
        <w:t>that de</w:t>
      </w:r>
      <w:r w:rsidR="241A9321" w:rsidRPr="004830DF">
        <w:rPr>
          <w:rFonts w:asciiTheme="minorHAnsi" w:eastAsia="Calibri" w:hAnsiTheme="minorHAnsi" w:cs="Calibri"/>
          <w:color w:val="000000" w:themeColor="text1"/>
          <w:sz w:val="22"/>
          <w:szCs w:val="22"/>
        </w:rPr>
        <w:t xml:space="preserve">cisions about how these monies are distributed </w:t>
      </w:r>
      <w:r w:rsidR="3A8B11F3" w:rsidRPr="004830DF">
        <w:rPr>
          <w:rFonts w:asciiTheme="minorHAnsi" w:eastAsia="Calibri" w:hAnsiTheme="minorHAnsi" w:cs="Calibri"/>
          <w:color w:val="000000" w:themeColor="text1"/>
          <w:sz w:val="22"/>
          <w:szCs w:val="22"/>
        </w:rPr>
        <w:t xml:space="preserve">should </w:t>
      </w:r>
      <w:r w:rsidR="241A9321" w:rsidRPr="004830DF">
        <w:rPr>
          <w:rFonts w:asciiTheme="minorHAnsi" w:eastAsia="Calibri" w:hAnsiTheme="minorHAnsi" w:cs="Calibri"/>
          <w:color w:val="000000" w:themeColor="text1"/>
          <w:sz w:val="22"/>
          <w:szCs w:val="22"/>
        </w:rPr>
        <w:t>be handled by an advisory group comprised of representatives from across campus.</w:t>
      </w:r>
      <w:r w:rsidR="48428A48" w:rsidRPr="004830DF">
        <w:rPr>
          <w:rFonts w:asciiTheme="minorHAnsi" w:eastAsia="Calibri" w:hAnsiTheme="minorHAnsi" w:cs="Calibri"/>
          <w:color w:val="000000" w:themeColor="text1"/>
          <w:sz w:val="22"/>
          <w:szCs w:val="22"/>
        </w:rPr>
        <w:t xml:space="preserve"> (See Action Step #3, Task #</w:t>
      </w:r>
      <w:r w:rsidR="00896BF8" w:rsidRPr="004830DF">
        <w:rPr>
          <w:rFonts w:asciiTheme="minorHAnsi" w:eastAsia="Calibri" w:hAnsiTheme="minorHAnsi" w:cs="Calibri"/>
          <w:color w:val="000000" w:themeColor="text1"/>
          <w:sz w:val="22"/>
          <w:szCs w:val="22"/>
        </w:rPr>
        <w:t>2</w:t>
      </w:r>
      <w:r w:rsidR="48428A48" w:rsidRPr="004830DF">
        <w:rPr>
          <w:rFonts w:asciiTheme="minorHAnsi" w:eastAsia="Calibri" w:hAnsiTheme="minorHAnsi" w:cs="Calibri"/>
          <w:color w:val="000000" w:themeColor="text1"/>
          <w:sz w:val="22"/>
          <w:szCs w:val="22"/>
        </w:rPr>
        <w:t>.)</w:t>
      </w:r>
    </w:p>
    <w:p w14:paraId="560900BB"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326DEA57" w14:textId="54414151"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Resources Needed: </w:t>
      </w:r>
      <w:r w:rsidR="25402189" w:rsidRPr="004830DF">
        <w:rPr>
          <w:rFonts w:asciiTheme="minorHAnsi" w:eastAsia="Calibri" w:hAnsiTheme="minorHAnsi" w:cs="Calibri"/>
          <w:color w:val="000000"/>
          <w:sz w:val="22"/>
          <w:szCs w:val="22"/>
        </w:rPr>
        <w:t xml:space="preserve">This committee recommends that </w:t>
      </w:r>
      <w:r w:rsidR="0974027B" w:rsidRPr="004830DF">
        <w:rPr>
          <w:rFonts w:asciiTheme="minorHAnsi" w:eastAsia="Calibri" w:hAnsiTheme="minorHAnsi" w:cs="Calibri"/>
          <w:color w:val="000000"/>
          <w:sz w:val="22"/>
          <w:szCs w:val="22"/>
        </w:rPr>
        <w:t>an initial, annual allocation of $2</w:t>
      </w:r>
      <w:r w:rsidR="0038485E" w:rsidRPr="004830DF">
        <w:rPr>
          <w:rFonts w:asciiTheme="minorHAnsi" w:eastAsia="Calibri" w:hAnsiTheme="minorHAnsi" w:cs="Calibri"/>
          <w:color w:val="000000"/>
          <w:sz w:val="22"/>
          <w:szCs w:val="22"/>
        </w:rPr>
        <w:t>5</w:t>
      </w:r>
      <w:r w:rsidR="0974027B" w:rsidRPr="004830DF">
        <w:rPr>
          <w:rFonts w:asciiTheme="minorHAnsi" w:eastAsia="Calibri" w:hAnsiTheme="minorHAnsi" w:cs="Calibri"/>
          <w:color w:val="000000"/>
          <w:sz w:val="22"/>
          <w:szCs w:val="22"/>
        </w:rPr>
        <w:t>0,000 be set aside to directly support mentored student research</w:t>
      </w:r>
      <w:r w:rsidR="4B24119E" w:rsidRPr="004830DF">
        <w:rPr>
          <w:rFonts w:asciiTheme="minorHAnsi" w:eastAsia="Calibri" w:hAnsiTheme="minorHAnsi" w:cs="Calibri"/>
          <w:color w:val="000000"/>
          <w:sz w:val="22"/>
          <w:szCs w:val="22"/>
        </w:rPr>
        <w:t xml:space="preserve"> and that this amount b</w:t>
      </w:r>
      <w:r w:rsidR="74011BA0" w:rsidRPr="004830DF">
        <w:rPr>
          <w:rFonts w:asciiTheme="minorHAnsi" w:eastAsia="Calibri" w:hAnsiTheme="minorHAnsi" w:cs="Calibri"/>
          <w:color w:val="000000"/>
          <w:sz w:val="22"/>
          <w:szCs w:val="22"/>
        </w:rPr>
        <w:t>e re-evaluated annually once efforts to expand mentored student research can be assessed.</w:t>
      </w:r>
      <w:r w:rsidR="0038485E" w:rsidRPr="004830DF">
        <w:rPr>
          <w:rFonts w:asciiTheme="minorHAnsi" w:eastAsia="Calibri" w:hAnsiTheme="minorHAnsi" w:cs="Calibri"/>
          <w:color w:val="000000"/>
          <w:sz w:val="22"/>
          <w:szCs w:val="22"/>
        </w:rPr>
        <w:t xml:space="preserve"> (We envision that the advisory council will develop specific programming. However, we have included sample programs and budget in Appendix A.) </w:t>
      </w:r>
    </w:p>
    <w:p w14:paraId="3DC3CE5E"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1BD0BFEC" w14:textId="540A1729"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Immediate Targets: </w:t>
      </w:r>
      <w:r w:rsidR="74011BA0" w:rsidRPr="004830DF">
        <w:rPr>
          <w:rFonts w:asciiTheme="minorHAnsi" w:eastAsia="Calibri" w:hAnsiTheme="minorHAnsi" w:cs="Calibri"/>
          <w:color w:val="000000"/>
          <w:sz w:val="22"/>
          <w:szCs w:val="22"/>
        </w:rPr>
        <w:t>$</w:t>
      </w:r>
      <w:r w:rsidR="4F08126E" w:rsidRPr="004830DF">
        <w:rPr>
          <w:rFonts w:asciiTheme="minorHAnsi" w:eastAsia="Calibri" w:hAnsiTheme="minorHAnsi" w:cs="Calibri"/>
          <w:color w:val="000000"/>
          <w:sz w:val="22"/>
          <w:szCs w:val="22"/>
        </w:rPr>
        <w:t>2</w:t>
      </w:r>
      <w:r w:rsidR="0038485E" w:rsidRPr="004830DF">
        <w:rPr>
          <w:rFonts w:asciiTheme="minorHAnsi" w:eastAsia="Calibri" w:hAnsiTheme="minorHAnsi" w:cs="Calibri"/>
          <w:color w:val="000000"/>
          <w:sz w:val="22"/>
          <w:szCs w:val="22"/>
        </w:rPr>
        <w:t>5</w:t>
      </w:r>
      <w:r w:rsidR="4F08126E" w:rsidRPr="004830DF">
        <w:rPr>
          <w:rFonts w:asciiTheme="minorHAnsi" w:eastAsia="Calibri" w:hAnsiTheme="minorHAnsi" w:cs="Calibri"/>
          <w:color w:val="000000"/>
          <w:sz w:val="22"/>
          <w:szCs w:val="22"/>
        </w:rPr>
        <w:t>0,000 allocation in FY 2019</w:t>
      </w:r>
    </w:p>
    <w:p w14:paraId="325F770F"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13674861" w14:textId="486E37AE"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t xml:space="preserve">Long-Range Targets: </w:t>
      </w:r>
      <w:r w:rsidR="53B400D9" w:rsidRPr="004830DF">
        <w:rPr>
          <w:rFonts w:asciiTheme="minorHAnsi" w:eastAsia="Calibri" w:hAnsiTheme="minorHAnsi" w:cs="Calibri"/>
          <w:color w:val="000000"/>
          <w:sz w:val="22"/>
          <w:szCs w:val="22"/>
        </w:rPr>
        <w:t>Advisory co</w:t>
      </w:r>
      <w:r w:rsidR="7E92A651" w:rsidRPr="004830DF">
        <w:rPr>
          <w:rFonts w:asciiTheme="minorHAnsi" w:eastAsia="Calibri" w:hAnsiTheme="minorHAnsi" w:cs="Calibri"/>
          <w:color w:val="000000"/>
          <w:sz w:val="22"/>
          <w:szCs w:val="22"/>
        </w:rPr>
        <w:t xml:space="preserve">uncil </w:t>
      </w:r>
      <w:r w:rsidR="53B400D9" w:rsidRPr="004830DF">
        <w:rPr>
          <w:rFonts w:asciiTheme="minorHAnsi" w:eastAsia="Calibri" w:hAnsiTheme="minorHAnsi" w:cs="Calibri"/>
          <w:color w:val="000000"/>
          <w:sz w:val="22"/>
          <w:szCs w:val="22"/>
        </w:rPr>
        <w:t>will e</w:t>
      </w:r>
      <w:r w:rsidR="37390832" w:rsidRPr="004830DF">
        <w:rPr>
          <w:rFonts w:asciiTheme="minorHAnsi" w:eastAsia="Calibri" w:hAnsiTheme="minorHAnsi" w:cs="Calibri"/>
          <w:color w:val="000000"/>
          <w:sz w:val="22"/>
          <w:szCs w:val="22"/>
        </w:rPr>
        <w:t xml:space="preserve">valuate impact of mentored undergraduate </w:t>
      </w:r>
      <w:r w:rsidR="53B400D9" w:rsidRPr="004830DF">
        <w:rPr>
          <w:rFonts w:asciiTheme="minorHAnsi" w:eastAsia="Calibri" w:hAnsiTheme="minorHAnsi" w:cs="Calibri"/>
          <w:color w:val="000000"/>
          <w:sz w:val="22"/>
          <w:szCs w:val="22"/>
        </w:rPr>
        <w:t xml:space="preserve">research opportunities on an annual basis and </w:t>
      </w:r>
      <w:r w:rsidR="440E9584" w:rsidRPr="004830DF">
        <w:rPr>
          <w:rFonts w:asciiTheme="minorHAnsi" w:eastAsia="Calibri" w:hAnsiTheme="minorHAnsi" w:cs="Calibri"/>
          <w:color w:val="000000"/>
          <w:sz w:val="22"/>
          <w:szCs w:val="22"/>
        </w:rPr>
        <w:t>make recommendations for future allocations</w:t>
      </w:r>
      <w:r w:rsidR="7E92A651" w:rsidRPr="004830DF">
        <w:rPr>
          <w:rFonts w:asciiTheme="minorHAnsi" w:eastAsia="Calibri" w:hAnsiTheme="minorHAnsi" w:cs="Calibri"/>
          <w:color w:val="000000" w:themeColor="text1"/>
          <w:sz w:val="22"/>
          <w:szCs w:val="22"/>
        </w:rPr>
        <w:t>.</w:t>
      </w:r>
    </w:p>
    <w:p w14:paraId="7C50611D" w14:textId="77777777" w:rsidR="00444025" w:rsidRPr="004830DF" w:rsidRDefault="00444025" w:rsidP="004830DF">
      <w:pPr>
        <w:pStyle w:val="NormalWeb"/>
        <w:spacing w:before="0" w:beforeAutospacing="0" w:after="0" w:afterAutospacing="0"/>
        <w:ind w:left="1440"/>
        <w:rPr>
          <w:rFonts w:asciiTheme="minorHAnsi" w:hAnsiTheme="minorHAnsi"/>
          <w:color w:val="000000"/>
          <w:sz w:val="22"/>
          <w:szCs w:val="22"/>
        </w:rPr>
      </w:pPr>
    </w:p>
    <w:p w14:paraId="32AA985C" w14:textId="222758B0" w:rsidR="00444025" w:rsidRPr="004830DF" w:rsidRDefault="00444025"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sz w:val="22"/>
          <w:szCs w:val="22"/>
        </w:rPr>
        <w:lastRenderedPageBreak/>
        <w:t xml:space="preserve">Impacted Departments: </w:t>
      </w:r>
      <w:r w:rsidR="1DFFE237" w:rsidRPr="004830DF">
        <w:rPr>
          <w:rFonts w:asciiTheme="minorHAnsi" w:eastAsia="Calibri" w:hAnsiTheme="minorHAnsi" w:cs="Calibri"/>
          <w:color w:val="000000"/>
          <w:sz w:val="22"/>
          <w:szCs w:val="22"/>
        </w:rPr>
        <w:t>N/A</w:t>
      </w:r>
    </w:p>
    <w:p w14:paraId="44F6D64E" w14:textId="225C1D0F" w:rsidR="357088E7" w:rsidRPr="004830DF" w:rsidRDefault="357088E7"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059B3C60" w14:textId="1A3605F9" w:rsidR="7B7D7DB7" w:rsidRPr="004830DF" w:rsidRDefault="00EAD79E" w:rsidP="004830DF">
      <w:pPr>
        <w:spacing w:after="0" w:line="240" w:lineRule="auto"/>
        <w:ind w:left="1440"/>
      </w:pPr>
      <w:r w:rsidRPr="004830DF">
        <w:rPr>
          <w:rFonts w:eastAsia="Calibri" w:cs="Calibri"/>
          <w:b/>
          <w:bCs/>
          <w:u w:val="single"/>
        </w:rPr>
        <w:t>Task #</w:t>
      </w:r>
      <w:r w:rsidR="00087B4B" w:rsidRPr="004830DF">
        <w:rPr>
          <w:rFonts w:eastAsia="Calibri" w:cs="Calibri"/>
          <w:b/>
          <w:bCs/>
          <w:u w:val="single"/>
        </w:rPr>
        <w:t>6</w:t>
      </w:r>
      <w:r w:rsidRPr="004830DF">
        <w:rPr>
          <w:rFonts w:eastAsia="Calibri" w:cs="Calibri"/>
          <w:b/>
          <w:bCs/>
          <w:u w:val="single"/>
        </w:rPr>
        <w:t>:</w:t>
      </w:r>
      <w:r w:rsidRPr="004830DF">
        <w:rPr>
          <w:rFonts w:eastAsia="Calibri" w:cs="Calibri"/>
        </w:rPr>
        <w:t xml:space="preserve"> Create a Research Intensive (RI) designation for undergraduate courses that would appear on student transcripts.</w:t>
      </w:r>
    </w:p>
    <w:p w14:paraId="7BF5D75E" w14:textId="0B420266" w:rsidR="6FF6F65B" w:rsidRPr="004830DF" w:rsidRDefault="6FF6F65B" w:rsidP="004830DF">
      <w:pPr>
        <w:spacing w:after="0" w:line="240" w:lineRule="auto"/>
        <w:ind w:left="1440"/>
        <w:rPr>
          <w:rFonts w:eastAsia="Calibri" w:cs="Calibri"/>
        </w:rPr>
      </w:pPr>
    </w:p>
    <w:p w14:paraId="32D26B92" w14:textId="659DE2E3" w:rsidR="7B7D7DB7" w:rsidRPr="004830DF" w:rsidRDefault="00EAD79E" w:rsidP="004830DF">
      <w:pPr>
        <w:spacing w:after="0" w:line="240" w:lineRule="auto"/>
        <w:ind w:left="1440"/>
      </w:pPr>
      <w:r w:rsidRPr="004830DF">
        <w:rPr>
          <w:rFonts w:eastAsia="Calibri" w:cs="Calibri"/>
        </w:rPr>
        <w:t>Explanation: The Research Intensive designation</w:t>
      </w:r>
      <w:r w:rsidR="00773ECD" w:rsidRPr="004830DF">
        <w:rPr>
          <w:rFonts w:eastAsia="Calibri" w:cs="Calibri"/>
        </w:rPr>
        <w:t xml:space="preserve"> (e.g. PSY 400R, akin to PSY 1330H currently used for Honors designation)</w:t>
      </w:r>
      <w:r w:rsidRPr="004830DF">
        <w:rPr>
          <w:rFonts w:eastAsia="Calibri" w:cs="Calibri"/>
        </w:rPr>
        <w:t xml:space="preserve"> would identify courses </w:t>
      </w:r>
      <w:r w:rsidR="00896BF8" w:rsidRPr="004830DF">
        <w:rPr>
          <w:rFonts w:eastAsia="Calibri" w:cs="Calibri"/>
        </w:rPr>
        <w:t>that</w:t>
      </w:r>
      <w:r w:rsidRPr="004830DF">
        <w:rPr>
          <w:rFonts w:eastAsia="Calibri" w:cs="Calibri"/>
        </w:rPr>
        <w:t xml:space="preserve"> offer undergraduates the opportunity to engage in an authentic scholarly inquiry or creative activities within the discipline. Such courses are different from others in that students, in consultation with faculty, take responsibility for designing and executing scholarly and creative projects that have the potential to contribute to the discipline. While similar courses already exist in a few departments, creating an RI designation would encourage the expansion of </w:t>
      </w:r>
      <w:r w:rsidR="00A755D4" w:rsidRPr="004830DF">
        <w:rPr>
          <w:rFonts w:eastAsia="Calibri" w:cs="Calibri"/>
        </w:rPr>
        <w:t>course</w:t>
      </w:r>
      <w:r w:rsidRPr="004830DF">
        <w:rPr>
          <w:rFonts w:eastAsia="Calibri" w:cs="Calibri"/>
        </w:rPr>
        <w:t>-based research opportunities for undergraduate students, provide authentic research opportunities for students in disciplines that traditionally do not engage in one-on-one mentored research at the undergraduate level, and allow documentation of student engagement in scholarship on their transcripts. The RI designation would further benefit students by allowing them to manage their workload (by ensuring that they did not unknowingly sign up for too many research courses). Given the heavy demand that these courses create for faculty</w:t>
      </w:r>
      <w:r w:rsidR="00A755D4" w:rsidRPr="004830DF">
        <w:rPr>
          <w:rFonts w:eastAsia="Calibri" w:cs="Calibri"/>
        </w:rPr>
        <w:t xml:space="preserve"> and the desire to create better experiences for students</w:t>
      </w:r>
      <w:r w:rsidRPr="004830DF">
        <w:rPr>
          <w:rFonts w:eastAsia="Calibri" w:cs="Calibri"/>
        </w:rPr>
        <w:t xml:space="preserve">, the RI designation would help departments identify courses that should be capped at a lower number of students. </w:t>
      </w:r>
      <w:r w:rsidR="00896BF8" w:rsidRPr="004830DF">
        <w:rPr>
          <w:rFonts w:eastAsia="Calibri" w:cs="Calibri"/>
        </w:rPr>
        <w:t>RI courses</w:t>
      </w:r>
      <w:r w:rsidRPr="004830DF">
        <w:rPr>
          <w:rFonts w:eastAsia="Calibri" w:cs="Calibri"/>
        </w:rPr>
        <w:t xml:space="preserve"> should be treated as </w:t>
      </w:r>
      <w:r w:rsidR="00A755D4" w:rsidRPr="004830DF">
        <w:rPr>
          <w:rFonts w:eastAsia="Calibri" w:cs="Calibri"/>
        </w:rPr>
        <w:t>master’s-level</w:t>
      </w:r>
      <w:r w:rsidRPr="004830DF">
        <w:rPr>
          <w:rFonts w:eastAsia="Calibri" w:cs="Calibri"/>
        </w:rPr>
        <w:t xml:space="preserve"> courses for the purposes of faculty workload</w:t>
      </w:r>
      <w:r w:rsidR="00A755D4" w:rsidRPr="004830DF">
        <w:rPr>
          <w:rFonts w:eastAsia="Calibri" w:cs="Calibri"/>
        </w:rPr>
        <w:t xml:space="preserve"> and minimum and maximum course enrollments</w:t>
      </w:r>
      <w:r w:rsidRPr="004830DF">
        <w:rPr>
          <w:rFonts w:eastAsia="Calibri" w:cs="Calibri"/>
        </w:rPr>
        <w:t>.</w:t>
      </w:r>
    </w:p>
    <w:p w14:paraId="48BF28D2" w14:textId="65EBC26D" w:rsidR="132EA72D" w:rsidRPr="004830DF" w:rsidRDefault="132EA72D" w:rsidP="004830DF">
      <w:pPr>
        <w:spacing w:after="0" w:line="240" w:lineRule="auto"/>
        <w:ind w:left="1440"/>
        <w:rPr>
          <w:rFonts w:eastAsia="Calibri" w:cs="Calibri"/>
        </w:rPr>
      </w:pPr>
    </w:p>
    <w:p w14:paraId="2EB67DBF" w14:textId="762ACB00" w:rsidR="3B06D9D7" w:rsidRPr="004830DF" w:rsidRDefault="00EAD79E" w:rsidP="004830DF">
      <w:pPr>
        <w:spacing w:after="0" w:line="240" w:lineRule="auto"/>
        <w:ind w:left="1440"/>
        <w:rPr>
          <w:rFonts w:eastAsia="Calibri" w:cs="Calibri"/>
        </w:rPr>
      </w:pPr>
      <w:r w:rsidRPr="004830DF">
        <w:rPr>
          <w:rFonts w:eastAsia="Calibri" w:cs="Calibri"/>
        </w:rPr>
        <w:t>Resources Needed: Faculty to teach courses with research designations</w:t>
      </w:r>
      <w:r w:rsidR="3B06D9D7" w:rsidRPr="004830DF">
        <w:rPr>
          <w:rFonts w:eastAsia="Calibri" w:cs="Calibri"/>
        </w:rPr>
        <w:t>. A</w:t>
      </w:r>
      <w:r w:rsidRPr="004830DF">
        <w:rPr>
          <w:rFonts w:eastAsia="Calibri" w:cs="Calibri"/>
        </w:rPr>
        <w:t xml:space="preserve"> faculty team to develop </w:t>
      </w:r>
      <w:r w:rsidR="74723445" w:rsidRPr="004830DF">
        <w:rPr>
          <w:rFonts w:eastAsia="Calibri" w:cs="Calibri"/>
        </w:rPr>
        <w:t>initial standards and application procedures</w:t>
      </w:r>
      <w:r w:rsidRPr="004830DF">
        <w:rPr>
          <w:rFonts w:eastAsia="Calibri" w:cs="Calibri"/>
        </w:rPr>
        <w:t xml:space="preserve"> for RI </w:t>
      </w:r>
      <w:r w:rsidR="74723445" w:rsidRPr="004830DF">
        <w:rPr>
          <w:rFonts w:eastAsia="Calibri" w:cs="Calibri"/>
        </w:rPr>
        <w:t>courses</w:t>
      </w:r>
      <w:r w:rsidR="153D0926" w:rsidRPr="004830DF">
        <w:rPr>
          <w:rFonts w:eastAsia="Calibri" w:cs="Calibri"/>
        </w:rPr>
        <w:t>. R</w:t>
      </w:r>
      <w:r w:rsidR="3B06D9D7" w:rsidRPr="004830DF">
        <w:rPr>
          <w:rFonts w:eastAsia="Calibri" w:cs="Calibri"/>
        </w:rPr>
        <w:t>esp</w:t>
      </w:r>
      <w:r w:rsidR="4F12596C" w:rsidRPr="004830DF">
        <w:rPr>
          <w:rFonts w:eastAsia="Calibri" w:cs="Calibri"/>
        </w:rPr>
        <w:t xml:space="preserve">onsibility </w:t>
      </w:r>
      <w:r w:rsidR="153D0926" w:rsidRPr="004830DF">
        <w:rPr>
          <w:rFonts w:eastAsia="Calibri" w:cs="Calibri"/>
        </w:rPr>
        <w:t xml:space="preserve">for RI courses </w:t>
      </w:r>
      <w:r w:rsidR="4F12596C" w:rsidRPr="004830DF">
        <w:rPr>
          <w:rFonts w:eastAsia="Calibri" w:cs="Calibri"/>
        </w:rPr>
        <w:t xml:space="preserve">would be assumed by the Advisory Council </w:t>
      </w:r>
      <w:r w:rsidR="153D0926" w:rsidRPr="004830DF">
        <w:rPr>
          <w:rFonts w:eastAsia="Calibri" w:cs="Calibri"/>
        </w:rPr>
        <w:t>sta</w:t>
      </w:r>
      <w:r w:rsidR="65CBC2D3" w:rsidRPr="004830DF">
        <w:rPr>
          <w:rFonts w:eastAsia="Calibri" w:cs="Calibri"/>
        </w:rPr>
        <w:t>rting in</w:t>
      </w:r>
      <w:r w:rsidR="4F12596C" w:rsidRPr="004830DF">
        <w:rPr>
          <w:rFonts w:eastAsia="Calibri" w:cs="Calibri"/>
        </w:rPr>
        <w:t xml:space="preserve"> </w:t>
      </w:r>
      <w:proofErr w:type="gramStart"/>
      <w:r w:rsidR="4F12596C" w:rsidRPr="004830DF">
        <w:rPr>
          <w:rFonts w:eastAsia="Calibri" w:cs="Calibri"/>
        </w:rPr>
        <w:t>Fall</w:t>
      </w:r>
      <w:proofErr w:type="gramEnd"/>
      <w:r w:rsidR="4F12596C" w:rsidRPr="004830DF">
        <w:rPr>
          <w:rFonts w:eastAsia="Calibri" w:cs="Calibri"/>
        </w:rPr>
        <w:t xml:space="preserve"> 2018</w:t>
      </w:r>
      <w:r w:rsidR="29DFF6E7" w:rsidRPr="004830DF">
        <w:rPr>
          <w:rFonts w:eastAsia="Calibri" w:cs="Calibri"/>
        </w:rPr>
        <w:t>.</w:t>
      </w:r>
    </w:p>
    <w:p w14:paraId="264668AF" w14:textId="77777777" w:rsidR="00087B4B" w:rsidRPr="004830DF" w:rsidRDefault="00087B4B" w:rsidP="004830DF">
      <w:pPr>
        <w:spacing w:after="0" w:line="240" w:lineRule="auto"/>
        <w:ind w:left="1440"/>
        <w:rPr>
          <w:rFonts w:eastAsia="Calibri" w:cs="Calibri"/>
        </w:rPr>
      </w:pPr>
    </w:p>
    <w:p w14:paraId="7F4F54FF" w14:textId="63B2A2DB" w:rsidR="7B7D7DB7" w:rsidRPr="004830DF" w:rsidRDefault="00EAD79E" w:rsidP="004830DF">
      <w:pPr>
        <w:spacing w:after="0" w:line="240" w:lineRule="auto"/>
        <w:ind w:left="1440"/>
        <w:rPr>
          <w:rFonts w:eastAsia="Calibri" w:cs="Calibri"/>
        </w:rPr>
      </w:pPr>
      <w:r w:rsidRPr="004830DF">
        <w:rPr>
          <w:rFonts w:eastAsia="Calibri" w:cs="Calibri"/>
        </w:rPr>
        <w:t>Immediate Target</w:t>
      </w:r>
      <w:r w:rsidR="00087B4B" w:rsidRPr="004830DF">
        <w:rPr>
          <w:rFonts w:eastAsia="Calibri" w:cs="Calibri"/>
        </w:rPr>
        <w:t>s</w:t>
      </w:r>
      <w:r w:rsidRPr="004830DF">
        <w:rPr>
          <w:rFonts w:eastAsia="Calibri" w:cs="Calibri"/>
        </w:rPr>
        <w:t>: In academic year 2017-18, a team of faculty will develop standards for RI courses and a procedure for faculty and departments to apply for RI course designation.</w:t>
      </w:r>
      <w:r w:rsidR="00087B4B" w:rsidRPr="004830DF">
        <w:rPr>
          <w:rStyle w:val="FootnoteReference"/>
          <w:rFonts w:eastAsia="Calibri" w:cs="Calibri"/>
        </w:rPr>
        <w:footnoteReference w:id="6"/>
      </w:r>
      <w:r w:rsidRPr="004830DF">
        <w:rPr>
          <w:rFonts w:eastAsia="Calibri" w:cs="Calibri"/>
        </w:rPr>
        <w:t xml:space="preserve"> </w:t>
      </w:r>
    </w:p>
    <w:p w14:paraId="4F00DC99" w14:textId="36D6506C" w:rsidR="7B7D7DB7" w:rsidRPr="004830DF" w:rsidRDefault="00EAD79E" w:rsidP="004830DF">
      <w:pPr>
        <w:spacing w:after="0" w:line="240" w:lineRule="auto"/>
      </w:pPr>
      <w:r w:rsidRPr="004830DF">
        <w:rPr>
          <w:rFonts w:eastAsia="Calibri" w:cs="Calibri"/>
        </w:rPr>
        <w:t xml:space="preserve"> </w:t>
      </w:r>
    </w:p>
    <w:p w14:paraId="74FEDB13" w14:textId="53EF3142" w:rsidR="7B7D7DB7" w:rsidRPr="004830DF" w:rsidRDefault="00EAD79E" w:rsidP="004830DF">
      <w:pPr>
        <w:spacing w:after="0" w:line="240" w:lineRule="auto"/>
        <w:ind w:left="1440"/>
      </w:pPr>
      <w:r w:rsidRPr="004830DF">
        <w:rPr>
          <w:rFonts w:eastAsia="Calibri" w:cs="Calibri"/>
        </w:rPr>
        <w:t xml:space="preserve">Long-Range Targets: </w:t>
      </w:r>
    </w:p>
    <w:p w14:paraId="0125A3EF" w14:textId="40E36BC4" w:rsidR="7B7D7DB7" w:rsidRPr="004830DF" w:rsidRDefault="00EAD79E" w:rsidP="004830DF">
      <w:pPr>
        <w:pStyle w:val="ListParagraph"/>
        <w:numPr>
          <w:ilvl w:val="0"/>
          <w:numId w:val="8"/>
        </w:numPr>
        <w:spacing w:after="0" w:line="240" w:lineRule="auto"/>
        <w:rPr>
          <w:rFonts w:eastAsiaTheme="minorEastAsia"/>
        </w:rPr>
      </w:pPr>
      <w:r w:rsidRPr="004830DF">
        <w:rPr>
          <w:rFonts w:eastAsia="Calibri" w:cs="Calibri"/>
        </w:rPr>
        <w:t xml:space="preserve">AY 2018-19: Faculty and departments apply for RI designation for courses, to be reviewed by the Advisory Council described in </w:t>
      </w:r>
      <w:r w:rsidR="00087B4B" w:rsidRPr="004830DF">
        <w:rPr>
          <w:rFonts w:eastAsia="Calibri" w:cs="Calibri"/>
        </w:rPr>
        <w:t xml:space="preserve">Action Step #3, </w:t>
      </w:r>
      <w:r w:rsidRPr="004830DF">
        <w:rPr>
          <w:rFonts w:eastAsia="Calibri" w:cs="Calibri"/>
        </w:rPr>
        <w:t>Task #2. Applications to be considered on an ongoing basis thereafter.</w:t>
      </w:r>
    </w:p>
    <w:p w14:paraId="57FA83D2" w14:textId="0D0B2F3D" w:rsidR="7B7D7DB7" w:rsidRPr="004830DF" w:rsidRDefault="00EAD79E" w:rsidP="004830DF">
      <w:pPr>
        <w:pStyle w:val="ListParagraph"/>
        <w:numPr>
          <w:ilvl w:val="0"/>
          <w:numId w:val="8"/>
        </w:numPr>
        <w:spacing w:after="0" w:line="240" w:lineRule="auto"/>
        <w:rPr>
          <w:rFonts w:eastAsiaTheme="minorEastAsia"/>
        </w:rPr>
      </w:pPr>
      <w:r w:rsidRPr="004830DF">
        <w:rPr>
          <w:rFonts w:eastAsia="Calibri" w:cs="Calibri"/>
        </w:rPr>
        <w:t>Fall 2019: RI courses offered for the first time.</w:t>
      </w:r>
      <w:r w:rsidR="00773ECD" w:rsidRPr="004830DF">
        <w:rPr>
          <w:rFonts w:eastAsia="Calibri" w:cs="Calibri"/>
        </w:rPr>
        <w:t xml:space="preserve"> Designation to appear on student transcripts.</w:t>
      </w:r>
    </w:p>
    <w:p w14:paraId="115C18E8" w14:textId="3DDAEFC0" w:rsidR="7B7D7DB7" w:rsidRPr="004830DF" w:rsidRDefault="00EAD79E" w:rsidP="004830DF">
      <w:pPr>
        <w:spacing w:after="0" w:line="240" w:lineRule="auto"/>
        <w:ind w:left="720"/>
      </w:pPr>
      <w:r w:rsidRPr="004830DF">
        <w:rPr>
          <w:rFonts w:eastAsia="Calibri" w:cs="Calibri"/>
        </w:rPr>
        <w:t xml:space="preserve"> </w:t>
      </w:r>
    </w:p>
    <w:p w14:paraId="0C73102A" w14:textId="1BA9455F" w:rsidR="7B7D7DB7" w:rsidRPr="004830DF" w:rsidRDefault="00EAD79E" w:rsidP="004830DF">
      <w:pPr>
        <w:spacing w:after="0" w:line="240" w:lineRule="auto"/>
        <w:ind w:left="1440"/>
      </w:pPr>
      <w:r w:rsidRPr="004830DF">
        <w:rPr>
          <w:rFonts w:eastAsia="Calibri" w:cs="Calibri"/>
        </w:rPr>
        <w:t>Impacted Departments: All</w:t>
      </w:r>
      <w:r w:rsidR="00087B4B" w:rsidRPr="004830DF">
        <w:rPr>
          <w:rFonts w:eastAsia="Calibri" w:cs="Calibri"/>
        </w:rPr>
        <w:t xml:space="preserve"> academic departments, Registrar’s Office</w:t>
      </w:r>
    </w:p>
    <w:p w14:paraId="2B26B951" w14:textId="1AED3D4D" w:rsidR="00EAD79E" w:rsidRPr="004830DF" w:rsidRDefault="00EAD79E"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304CE91D" w14:textId="64B1B354" w:rsidR="7B7D7DB7" w:rsidRPr="004830DF" w:rsidRDefault="7B7D7DB7" w:rsidP="004830DF">
      <w:pPr>
        <w:pStyle w:val="NormalWeb"/>
        <w:spacing w:before="0" w:beforeAutospacing="0" w:after="0" w:afterAutospacing="0"/>
        <w:ind w:left="1440"/>
        <w:rPr>
          <w:rFonts w:asciiTheme="minorHAnsi" w:eastAsiaTheme="minorEastAsia" w:hAnsiTheme="minorHAnsi"/>
          <w:sz w:val="22"/>
          <w:szCs w:val="22"/>
        </w:rPr>
      </w:pPr>
      <w:r w:rsidRPr="004830DF">
        <w:rPr>
          <w:rFonts w:asciiTheme="minorHAnsi" w:eastAsia="Calibri" w:hAnsiTheme="minorHAnsi" w:cs="Calibri"/>
          <w:b/>
          <w:bCs/>
          <w:color w:val="000000" w:themeColor="text1"/>
          <w:sz w:val="22"/>
          <w:szCs w:val="22"/>
          <w:u w:val="single"/>
        </w:rPr>
        <w:t>Task #</w:t>
      </w:r>
      <w:r w:rsidR="00087B4B" w:rsidRPr="004830DF">
        <w:rPr>
          <w:rFonts w:asciiTheme="minorHAnsi" w:eastAsia="Calibri" w:hAnsiTheme="minorHAnsi" w:cs="Calibri"/>
          <w:b/>
          <w:bCs/>
          <w:color w:val="000000" w:themeColor="text1"/>
          <w:sz w:val="22"/>
          <w:szCs w:val="22"/>
          <w:u w:val="single"/>
        </w:rPr>
        <w:t>7</w:t>
      </w:r>
      <w:r w:rsidRPr="004830DF">
        <w:rPr>
          <w:rFonts w:asciiTheme="minorHAnsi" w:eastAsia="Calibri" w:hAnsiTheme="minorHAnsi" w:cs="Calibri"/>
          <w:b/>
          <w:bCs/>
          <w:color w:val="000000" w:themeColor="text1"/>
          <w:sz w:val="22"/>
          <w:szCs w:val="22"/>
          <w:u w:val="single"/>
        </w:rPr>
        <w:t>:</w:t>
      </w:r>
      <w:r w:rsidR="4C4F63CF" w:rsidRPr="004830DF">
        <w:rPr>
          <w:rFonts w:asciiTheme="minorHAnsi" w:eastAsia="Calibri" w:hAnsiTheme="minorHAnsi" w:cs="Calibri"/>
          <w:b/>
          <w:bCs/>
          <w:color w:val="000000" w:themeColor="text1"/>
          <w:sz w:val="22"/>
          <w:szCs w:val="22"/>
        </w:rPr>
        <w:t xml:space="preserve"> </w:t>
      </w:r>
      <w:r w:rsidR="3C57449A" w:rsidRPr="004830DF">
        <w:rPr>
          <w:rFonts w:asciiTheme="minorHAnsi" w:eastAsiaTheme="minorEastAsia" w:hAnsiTheme="minorHAnsi" w:cstheme="minorBidi"/>
          <w:sz w:val="22"/>
          <w:szCs w:val="22"/>
        </w:rPr>
        <w:t xml:space="preserve">The </w:t>
      </w:r>
      <w:r w:rsidR="00087B4B" w:rsidRPr="004830DF">
        <w:rPr>
          <w:rFonts w:asciiTheme="minorHAnsi" w:eastAsiaTheme="minorEastAsia" w:hAnsiTheme="minorHAnsi" w:cstheme="minorBidi"/>
          <w:sz w:val="22"/>
          <w:szCs w:val="22"/>
        </w:rPr>
        <w:t>l</w:t>
      </w:r>
      <w:r w:rsidR="3C57449A" w:rsidRPr="004830DF">
        <w:rPr>
          <w:rFonts w:asciiTheme="minorHAnsi" w:eastAsiaTheme="minorEastAsia" w:hAnsiTheme="minorHAnsi" w:cstheme="minorBidi"/>
          <w:sz w:val="22"/>
          <w:szCs w:val="22"/>
        </w:rPr>
        <w:t xml:space="preserve">ibrary will </w:t>
      </w:r>
      <w:r w:rsidR="00E0051A" w:rsidRPr="004830DF">
        <w:rPr>
          <w:rFonts w:asciiTheme="minorHAnsi" w:eastAsiaTheme="minorEastAsia" w:hAnsiTheme="minorHAnsi" w:cstheme="minorBidi"/>
          <w:sz w:val="22"/>
          <w:szCs w:val="22"/>
        </w:rPr>
        <w:t>expand</w:t>
      </w:r>
      <w:r w:rsidR="3C57449A" w:rsidRPr="004830DF">
        <w:rPr>
          <w:rFonts w:asciiTheme="minorHAnsi" w:eastAsiaTheme="minorEastAsia" w:hAnsiTheme="minorHAnsi" w:cstheme="minorBidi"/>
          <w:sz w:val="22"/>
          <w:szCs w:val="22"/>
        </w:rPr>
        <w:t xml:space="preserve"> access to appropriate databases, journals, and resources </w:t>
      </w:r>
      <w:r w:rsidR="59E04895" w:rsidRPr="004830DF">
        <w:rPr>
          <w:rFonts w:asciiTheme="minorHAnsi" w:eastAsiaTheme="minorEastAsia" w:hAnsiTheme="minorHAnsi" w:cstheme="minorBidi"/>
          <w:sz w:val="22"/>
          <w:szCs w:val="22"/>
        </w:rPr>
        <w:t>to support faculty</w:t>
      </w:r>
      <w:r w:rsidR="009337B5" w:rsidRPr="004830DF">
        <w:rPr>
          <w:rFonts w:asciiTheme="minorHAnsi" w:eastAsiaTheme="minorEastAsia" w:hAnsiTheme="minorHAnsi" w:cstheme="minorBidi"/>
          <w:sz w:val="22"/>
          <w:szCs w:val="22"/>
        </w:rPr>
        <w:t xml:space="preserve"> and students</w:t>
      </w:r>
      <w:r w:rsidR="00E0051A" w:rsidRPr="004830DF">
        <w:rPr>
          <w:rFonts w:asciiTheme="minorHAnsi" w:eastAsiaTheme="minorEastAsia" w:hAnsiTheme="minorHAnsi" w:cstheme="minorBidi"/>
          <w:sz w:val="22"/>
          <w:szCs w:val="22"/>
        </w:rPr>
        <w:t xml:space="preserve"> who are conducting undergraduate research.</w:t>
      </w:r>
    </w:p>
    <w:p w14:paraId="41AF5FB5" w14:textId="09C13695" w:rsidR="00002570" w:rsidRPr="004830DF" w:rsidRDefault="00002570" w:rsidP="004830DF">
      <w:pPr>
        <w:pStyle w:val="NormalWeb"/>
        <w:spacing w:before="0" w:beforeAutospacing="0" w:after="0" w:afterAutospacing="0"/>
        <w:ind w:left="1440"/>
        <w:rPr>
          <w:rFonts w:asciiTheme="minorHAnsi" w:eastAsia="Calibri" w:hAnsiTheme="minorHAnsi" w:cs="Calibri"/>
          <w:color w:val="000000" w:themeColor="text1"/>
          <w:sz w:val="22"/>
          <w:szCs w:val="22"/>
        </w:rPr>
      </w:pPr>
    </w:p>
    <w:p w14:paraId="33096054" w14:textId="7F7BD904" w:rsidR="00002570" w:rsidRPr="004830DF" w:rsidRDefault="00002570" w:rsidP="004830DF">
      <w:pPr>
        <w:pStyle w:val="NormalWeb"/>
        <w:spacing w:before="0" w:beforeAutospacing="0" w:after="0" w:afterAutospacing="0"/>
        <w:ind w:left="1440"/>
        <w:rPr>
          <w:rFonts w:asciiTheme="minorHAnsi" w:eastAsia="Calibri" w:hAnsiTheme="minorHAnsi" w:cs="Calibri"/>
          <w:color w:val="000000" w:themeColor="text1"/>
          <w:sz w:val="22"/>
          <w:szCs w:val="22"/>
        </w:rPr>
      </w:pPr>
      <w:r w:rsidRPr="004830DF">
        <w:rPr>
          <w:rFonts w:asciiTheme="minorHAnsi" w:eastAsia="Calibri" w:hAnsiTheme="minorHAnsi" w:cs="Calibri"/>
          <w:color w:val="000000" w:themeColor="text1"/>
          <w:sz w:val="22"/>
          <w:szCs w:val="22"/>
        </w:rPr>
        <w:t xml:space="preserve">Explanation: </w:t>
      </w:r>
      <w:r w:rsidR="00087B4B" w:rsidRPr="004830DF">
        <w:rPr>
          <w:rFonts w:asciiTheme="minorHAnsi" w:eastAsia="Calibri" w:hAnsiTheme="minorHAnsi" w:cs="Calibri"/>
          <w:color w:val="000000" w:themeColor="text1"/>
          <w:sz w:val="22"/>
          <w:szCs w:val="22"/>
        </w:rPr>
        <w:t>Having access to the databases, journals, and resources necessary to foster quality research is essential to helping students understand how their work fits within a larger body of scholarly work. Additionally, this access will provide student researchers with a greater breadth of knowledge and understanding of other research taking place across the globe.</w:t>
      </w:r>
    </w:p>
    <w:p w14:paraId="502DBB3C" w14:textId="36BE7AD1" w:rsidR="7B7D7DB7" w:rsidRPr="004830DF" w:rsidRDefault="7B7D7DB7" w:rsidP="004830DF">
      <w:pPr>
        <w:spacing w:after="0" w:line="240" w:lineRule="auto"/>
        <w:rPr>
          <w:b/>
          <w:bCs/>
        </w:rPr>
      </w:pPr>
    </w:p>
    <w:p w14:paraId="299C1E87" w14:textId="7AAFFF7E" w:rsidR="7B7D7DB7" w:rsidRPr="004830DF" w:rsidRDefault="3C57449A" w:rsidP="004830DF">
      <w:pPr>
        <w:spacing w:after="0" w:line="240" w:lineRule="auto"/>
        <w:ind w:left="1440"/>
      </w:pPr>
      <w:r w:rsidRPr="004830DF">
        <w:rPr>
          <w:bCs/>
        </w:rPr>
        <w:t>Resources Needed:</w:t>
      </w:r>
      <w:r w:rsidRPr="004830DF">
        <w:t xml:space="preserve"> Library </w:t>
      </w:r>
      <w:r w:rsidR="00087B4B" w:rsidRPr="004830DF">
        <w:t>funds</w:t>
      </w:r>
      <w:r w:rsidRPr="004830DF">
        <w:t xml:space="preserve"> to support access to appropriate databases, journals, and resources</w:t>
      </w:r>
      <w:r w:rsidR="00087B4B" w:rsidRPr="004830DF">
        <w:t>,</w:t>
      </w:r>
      <w:r w:rsidR="00F96006" w:rsidRPr="004830DF">
        <w:t xml:space="preserve"> </w:t>
      </w:r>
      <w:r w:rsidR="00087B4B" w:rsidRPr="004830DF">
        <w:t>c</w:t>
      </w:r>
      <w:r w:rsidR="00F96006" w:rsidRPr="004830DF">
        <w:t>ollaboration between librarians and faculty/student researchers to better facilitate the research process</w:t>
      </w:r>
      <w:r w:rsidRPr="004830DF">
        <w:t>.</w:t>
      </w:r>
    </w:p>
    <w:p w14:paraId="2D76C46F" w14:textId="20D17CDB" w:rsidR="7B7D7DB7" w:rsidRPr="004830DF" w:rsidRDefault="3C57449A" w:rsidP="004830DF">
      <w:pPr>
        <w:spacing w:after="0" w:line="240" w:lineRule="auto"/>
      </w:pPr>
      <w:r w:rsidRPr="004830DF">
        <w:t xml:space="preserve"> </w:t>
      </w:r>
    </w:p>
    <w:p w14:paraId="0D0E2298" w14:textId="0D7AF256" w:rsidR="7B7D7DB7" w:rsidRPr="004830DF" w:rsidRDefault="3C57449A" w:rsidP="004830DF">
      <w:pPr>
        <w:spacing w:after="0" w:line="240" w:lineRule="auto"/>
        <w:ind w:left="1440"/>
      </w:pPr>
      <w:r w:rsidRPr="004830DF">
        <w:rPr>
          <w:bCs/>
        </w:rPr>
        <w:t>Immediate Targets:</w:t>
      </w:r>
      <w:r w:rsidRPr="004830DF">
        <w:t xml:space="preserve"> </w:t>
      </w:r>
      <w:r w:rsidR="00F96006" w:rsidRPr="004830DF">
        <w:t>Increase funding dedicated to acquiring/accessing new resources that support faculty/student researchers in the FY18 library budget.</w:t>
      </w:r>
    </w:p>
    <w:p w14:paraId="4165B9B0" w14:textId="6938C313" w:rsidR="7B7D7DB7" w:rsidRPr="004830DF" w:rsidRDefault="3C57449A" w:rsidP="004830DF">
      <w:pPr>
        <w:spacing w:after="0" w:line="240" w:lineRule="auto"/>
      </w:pPr>
      <w:r w:rsidRPr="004830DF">
        <w:t xml:space="preserve">            </w:t>
      </w:r>
    </w:p>
    <w:p w14:paraId="58FC1BE9" w14:textId="164761AA" w:rsidR="7B7D7DB7" w:rsidRPr="004830DF" w:rsidRDefault="3C57449A" w:rsidP="004830DF">
      <w:pPr>
        <w:spacing w:after="0" w:line="240" w:lineRule="auto"/>
        <w:ind w:left="1440"/>
      </w:pPr>
      <w:r w:rsidRPr="004830DF">
        <w:rPr>
          <w:bCs/>
        </w:rPr>
        <w:t>Long-Range Targets:</w:t>
      </w:r>
      <w:r w:rsidRPr="004830DF">
        <w:rPr>
          <w:b/>
          <w:bCs/>
        </w:rPr>
        <w:t xml:space="preserve"> </w:t>
      </w:r>
      <w:r w:rsidR="00087B4B" w:rsidRPr="004830DF">
        <w:t>I</w:t>
      </w:r>
      <w:r w:rsidR="00F96006" w:rsidRPr="004830DF">
        <w:t>ncrease funding annually as necessary.</w:t>
      </w:r>
    </w:p>
    <w:p w14:paraId="73A98142" w14:textId="55776811" w:rsidR="7B7D7DB7" w:rsidRPr="004830DF" w:rsidRDefault="3C57449A" w:rsidP="004830DF">
      <w:pPr>
        <w:spacing w:after="0" w:line="240" w:lineRule="auto"/>
      </w:pPr>
      <w:r w:rsidRPr="004830DF">
        <w:t xml:space="preserve">            </w:t>
      </w:r>
    </w:p>
    <w:p w14:paraId="301B12CE" w14:textId="1E2322A5" w:rsidR="7B7D7DB7" w:rsidRPr="004830DF" w:rsidRDefault="3C57449A" w:rsidP="004830DF">
      <w:pPr>
        <w:spacing w:after="0" w:line="240" w:lineRule="auto"/>
        <w:ind w:left="1440"/>
      </w:pPr>
      <w:r w:rsidRPr="004830DF">
        <w:rPr>
          <w:bCs/>
        </w:rPr>
        <w:t>Impacted Departments:</w:t>
      </w:r>
      <w:r w:rsidRPr="004830DF">
        <w:t xml:space="preserve"> Steen Library</w:t>
      </w:r>
    </w:p>
    <w:p w14:paraId="4775CD0E" w14:textId="45E48135" w:rsidR="00E35FE0" w:rsidRPr="004830DF" w:rsidRDefault="00E35FE0" w:rsidP="004830DF">
      <w:pPr>
        <w:pStyle w:val="NormalWeb"/>
        <w:spacing w:before="0" w:beforeAutospacing="0" w:after="0" w:afterAutospacing="0"/>
        <w:rPr>
          <w:rFonts w:asciiTheme="minorHAnsi" w:eastAsia="Calibri" w:hAnsiTheme="minorHAnsi" w:cs="Calibri"/>
          <w:sz w:val="22"/>
          <w:szCs w:val="22"/>
        </w:rPr>
      </w:pPr>
    </w:p>
    <w:p w14:paraId="48FA219D" w14:textId="15B2CC2E" w:rsidR="00E35FE0" w:rsidRPr="004830DF" w:rsidRDefault="00E35FE0" w:rsidP="004830DF">
      <w:pPr>
        <w:pStyle w:val="NormalWeb"/>
        <w:spacing w:before="0" w:beforeAutospacing="0" w:after="0" w:afterAutospacing="0"/>
        <w:rPr>
          <w:rFonts w:asciiTheme="minorHAnsi" w:eastAsia="Calibri" w:hAnsiTheme="minorHAnsi" w:cs="Calibri"/>
          <w:sz w:val="22"/>
          <w:szCs w:val="22"/>
        </w:rPr>
      </w:pPr>
    </w:p>
    <w:p w14:paraId="3AB058BF" w14:textId="77777777" w:rsidR="004830DF" w:rsidRDefault="004830DF" w:rsidP="004830DF">
      <w:pPr>
        <w:pStyle w:val="NormalWeb"/>
        <w:spacing w:before="0" w:beforeAutospacing="0" w:after="0" w:afterAutospacing="0"/>
        <w:rPr>
          <w:rFonts w:asciiTheme="minorHAnsi" w:hAnsiTheme="minorHAnsi"/>
          <w:color w:val="000000"/>
          <w:sz w:val="22"/>
          <w:szCs w:val="22"/>
        </w:rPr>
      </w:pPr>
    </w:p>
    <w:p w14:paraId="0D8C9B20" w14:textId="77777777" w:rsidR="004830DF" w:rsidRDefault="004830DF">
      <w:pPr>
        <w:rPr>
          <w:rFonts w:eastAsia="Times New Roman" w:cs="Times New Roman"/>
          <w:color w:val="000000"/>
        </w:rPr>
      </w:pPr>
      <w:r>
        <w:rPr>
          <w:color w:val="000000"/>
        </w:rPr>
        <w:br w:type="page"/>
      </w:r>
    </w:p>
    <w:p w14:paraId="599BFA51" w14:textId="2AA667F8" w:rsidR="004548AD" w:rsidRPr="004830DF" w:rsidRDefault="004830DF" w:rsidP="004830DF">
      <w:pPr>
        <w:pStyle w:val="NormalWeb"/>
        <w:spacing w:before="0" w:beforeAutospacing="0" w:after="0" w:afterAutospacing="0"/>
        <w:jc w:val="center"/>
        <w:rPr>
          <w:rFonts w:asciiTheme="minorHAnsi" w:hAnsiTheme="minorHAnsi"/>
          <w:b/>
          <w:color w:val="000000"/>
          <w:sz w:val="28"/>
          <w:szCs w:val="22"/>
        </w:rPr>
      </w:pPr>
      <w:r w:rsidRPr="004830DF">
        <w:rPr>
          <w:rFonts w:asciiTheme="minorHAnsi" w:hAnsiTheme="minorHAnsi"/>
          <w:b/>
          <w:color w:val="000000"/>
          <w:sz w:val="28"/>
          <w:szCs w:val="22"/>
        </w:rPr>
        <w:lastRenderedPageBreak/>
        <w:t>Appendix A</w:t>
      </w:r>
      <w:r w:rsidR="001C4E74">
        <w:rPr>
          <w:rFonts w:asciiTheme="minorHAnsi" w:hAnsiTheme="minorHAnsi"/>
          <w:b/>
          <w:color w:val="000000"/>
          <w:sz w:val="28"/>
          <w:szCs w:val="22"/>
        </w:rPr>
        <w:t>: Sample Programming and Budgets</w:t>
      </w:r>
    </w:p>
    <w:p w14:paraId="158FE1A0" w14:textId="77777777" w:rsidR="004830DF" w:rsidRDefault="004830DF" w:rsidP="004830DF">
      <w:pPr>
        <w:pStyle w:val="NormalWeb"/>
        <w:spacing w:before="0" w:beforeAutospacing="0" w:after="0" w:afterAutospacing="0"/>
        <w:rPr>
          <w:rFonts w:asciiTheme="minorHAnsi" w:hAnsiTheme="minorHAnsi"/>
          <w:color w:val="000000"/>
          <w:sz w:val="22"/>
          <w:szCs w:val="22"/>
        </w:rPr>
      </w:pPr>
    </w:p>
    <w:p w14:paraId="280F6257" w14:textId="349A7EA5" w:rsidR="00A30A75" w:rsidRPr="001C4E74" w:rsidRDefault="00A30A75" w:rsidP="004830DF">
      <w:pPr>
        <w:pStyle w:val="NormalWeb"/>
        <w:spacing w:before="0" w:beforeAutospacing="0" w:after="0" w:afterAutospacing="0"/>
        <w:rPr>
          <w:rFonts w:asciiTheme="minorHAnsi" w:hAnsiTheme="minorHAnsi"/>
          <w:b/>
          <w:color w:val="000000"/>
          <w:sz w:val="22"/>
          <w:szCs w:val="22"/>
        </w:rPr>
      </w:pPr>
      <w:r w:rsidRPr="001C4E74">
        <w:rPr>
          <w:rFonts w:asciiTheme="minorHAnsi" w:hAnsiTheme="minorHAnsi"/>
          <w:b/>
          <w:color w:val="000000"/>
          <w:sz w:val="22"/>
          <w:szCs w:val="22"/>
        </w:rPr>
        <w:t>Summer Research Fellowships</w:t>
      </w:r>
    </w:p>
    <w:p w14:paraId="713C6278" w14:textId="0C4388C7" w:rsidR="00A30A75" w:rsidRDefault="00A30A75" w:rsidP="00A30A75">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t>Student Support</w:t>
      </w:r>
      <w:r w:rsidR="001C4E74">
        <w:rPr>
          <w:rFonts w:asciiTheme="minorHAnsi" w:hAnsiTheme="minorHAnsi"/>
          <w:color w:val="000000"/>
          <w:sz w:val="22"/>
          <w:szCs w:val="22"/>
        </w:rPr>
        <w:t xml:space="preserve"> (15 @ $3,000)</w:t>
      </w:r>
      <w:r>
        <w:rPr>
          <w:rFonts w:asciiTheme="minorHAnsi" w:hAnsiTheme="minorHAnsi"/>
          <w:color w:val="000000"/>
          <w:sz w:val="22"/>
          <w:szCs w:val="22"/>
        </w:rPr>
        <w:tab/>
      </w:r>
      <w:r w:rsidR="001C4E74">
        <w:rPr>
          <w:rFonts w:asciiTheme="minorHAnsi" w:hAnsiTheme="minorHAnsi"/>
          <w:color w:val="000000"/>
          <w:sz w:val="22"/>
          <w:szCs w:val="22"/>
        </w:rPr>
        <w:tab/>
      </w:r>
      <w:r w:rsidR="001C4E74">
        <w:rPr>
          <w:rFonts w:asciiTheme="minorHAnsi" w:hAnsiTheme="minorHAnsi"/>
          <w:color w:val="000000"/>
          <w:sz w:val="22"/>
          <w:szCs w:val="22"/>
        </w:rPr>
        <w:tab/>
        <w:t>$45,</w:t>
      </w:r>
      <w:r>
        <w:rPr>
          <w:rFonts w:asciiTheme="minorHAnsi" w:hAnsiTheme="minorHAnsi"/>
          <w:color w:val="000000"/>
          <w:sz w:val="22"/>
          <w:szCs w:val="22"/>
        </w:rPr>
        <w:t>000</w:t>
      </w:r>
    </w:p>
    <w:p w14:paraId="25F94CE5" w14:textId="3CF699AE" w:rsidR="00A30A75" w:rsidRDefault="00A30A75" w:rsidP="00A30A75">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t>Faculty Compensation</w:t>
      </w:r>
      <w:r w:rsidR="001C4E74">
        <w:rPr>
          <w:rFonts w:asciiTheme="minorHAnsi" w:hAnsiTheme="minorHAnsi"/>
          <w:color w:val="000000"/>
          <w:sz w:val="22"/>
          <w:szCs w:val="22"/>
        </w:rPr>
        <w:t xml:space="preserve"> (15 @ $4,000)</w:t>
      </w:r>
      <w:r>
        <w:rPr>
          <w:rFonts w:asciiTheme="minorHAnsi" w:hAnsiTheme="minorHAnsi"/>
          <w:color w:val="000000"/>
          <w:sz w:val="22"/>
          <w:szCs w:val="22"/>
        </w:rPr>
        <w:tab/>
      </w:r>
      <w:r w:rsidR="001C4E74">
        <w:rPr>
          <w:rFonts w:asciiTheme="minorHAnsi" w:hAnsiTheme="minorHAnsi"/>
          <w:color w:val="000000"/>
          <w:sz w:val="22"/>
          <w:szCs w:val="22"/>
        </w:rPr>
        <w:tab/>
        <w:t>$60,</w:t>
      </w:r>
      <w:r>
        <w:rPr>
          <w:rFonts w:asciiTheme="minorHAnsi" w:hAnsiTheme="minorHAnsi"/>
          <w:color w:val="000000"/>
          <w:sz w:val="22"/>
          <w:szCs w:val="22"/>
        </w:rPr>
        <w:t>000</w:t>
      </w:r>
    </w:p>
    <w:p w14:paraId="0ACD8DB7" w14:textId="5EC98182" w:rsidR="00A30A75" w:rsidRPr="001C4E74" w:rsidRDefault="00A30A75" w:rsidP="00A30A75">
      <w:pPr>
        <w:pStyle w:val="NormalWeb"/>
        <w:spacing w:before="0" w:beforeAutospacing="0" w:after="0" w:afterAutospacing="0"/>
        <w:ind w:firstLine="720"/>
        <w:rPr>
          <w:rFonts w:asciiTheme="minorHAnsi" w:hAnsiTheme="minorHAnsi"/>
          <w:color w:val="000000"/>
          <w:sz w:val="22"/>
          <w:szCs w:val="22"/>
          <w:u w:val="single"/>
        </w:rPr>
      </w:pPr>
      <w:r w:rsidRPr="001C4E74">
        <w:rPr>
          <w:rFonts w:asciiTheme="minorHAnsi" w:hAnsiTheme="minorHAnsi"/>
          <w:color w:val="000000"/>
          <w:sz w:val="22"/>
          <w:szCs w:val="22"/>
          <w:u w:val="single"/>
        </w:rPr>
        <w:t>Project Supplies</w:t>
      </w:r>
      <w:r w:rsidRPr="001C4E74">
        <w:rPr>
          <w:rFonts w:asciiTheme="minorHAnsi" w:hAnsiTheme="minorHAnsi"/>
          <w:color w:val="000000"/>
          <w:sz w:val="22"/>
          <w:szCs w:val="22"/>
          <w:u w:val="single"/>
        </w:rPr>
        <w:tab/>
      </w:r>
      <w:r w:rsidR="001C4E74">
        <w:rPr>
          <w:rFonts w:asciiTheme="minorHAnsi" w:hAnsiTheme="minorHAnsi"/>
          <w:color w:val="000000"/>
          <w:sz w:val="22"/>
          <w:szCs w:val="22"/>
          <w:u w:val="single"/>
        </w:rPr>
        <w:t xml:space="preserve"> (15 @ $1,000)</w:t>
      </w:r>
      <w:r w:rsidRPr="001C4E74">
        <w:rPr>
          <w:rFonts w:asciiTheme="minorHAnsi" w:hAnsiTheme="minorHAnsi"/>
          <w:color w:val="000000"/>
          <w:sz w:val="22"/>
          <w:szCs w:val="22"/>
          <w:u w:val="single"/>
        </w:rPr>
        <w:tab/>
      </w:r>
      <w:r w:rsidRPr="001C4E74">
        <w:rPr>
          <w:rFonts w:asciiTheme="minorHAnsi" w:hAnsiTheme="minorHAnsi"/>
          <w:color w:val="000000"/>
          <w:sz w:val="22"/>
          <w:szCs w:val="22"/>
          <w:u w:val="single"/>
        </w:rPr>
        <w:tab/>
      </w:r>
      <w:r w:rsidR="001C4E74" w:rsidRPr="001C4E74">
        <w:rPr>
          <w:rFonts w:asciiTheme="minorHAnsi" w:hAnsiTheme="minorHAnsi"/>
          <w:color w:val="000000"/>
          <w:sz w:val="22"/>
          <w:szCs w:val="22"/>
          <w:u w:val="single"/>
        </w:rPr>
        <w:tab/>
        <w:t>$</w:t>
      </w:r>
      <w:r w:rsidRPr="001C4E74">
        <w:rPr>
          <w:rFonts w:asciiTheme="minorHAnsi" w:hAnsiTheme="minorHAnsi"/>
          <w:color w:val="000000"/>
          <w:sz w:val="22"/>
          <w:szCs w:val="22"/>
          <w:u w:val="single"/>
        </w:rPr>
        <w:t>1</w:t>
      </w:r>
      <w:r w:rsidR="001C4E74">
        <w:rPr>
          <w:rFonts w:asciiTheme="minorHAnsi" w:hAnsiTheme="minorHAnsi"/>
          <w:color w:val="000000"/>
          <w:sz w:val="22"/>
          <w:szCs w:val="22"/>
          <w:u w:val="single"/>
        </w:rPr>
        <w:t>5</w:t>
      </w:r>
      <w:r w:rsidR="001C4E74" w:rsidRPr="001C4E74">
        <w:rPr>
          <w:rFonts w:asciiTheme="minorHAnsi" w:hAnsiTheme="minorHAnsi"/>
          <w:color w:val="000000"/>
          <w:sz w:val="22"/>
          <w:szCs w:val="22"/>
          <w:u w:val="single"/>
        </w:rPr>
        <w:t>,</w:t>
      </w:r>
      <w:r w:rsidRPr="001C4E74">
        <w:rPr>
          <w:rFonts w:asciiTheme="minorHAnsi" w:hAnsiTheme="minorHAnsi"/>
          <w:color w:val="000000"/>
          <w:sz w:val="22"/>
          <w:szCs w:val="22"/>
          <w:u w:val="single"/>
        </w:rPr>
        <w:t>000</w:t>
      </w:r>
    </w:p>
    <w:p w14:paraId="4D163236" w14:textId="34F80A0D" w:rsidR="00A30A75" w:rsidRDefault="00A30A75" w:rsidP="00A30A75">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t>Total</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sidR="001C4E74">
        <w:rPr>
          <w:rFonts w:asciiTheme="minorHAnsi" w:hAnsiTheme="minorHAnsi"/>
          <w:color w:val="000000"/>
          <w:sz w:val="22"/>
          <w:szCs w:val="22"/>
        </w:rPr>
        <w:tab/>
      </w:r>
      <w:r>
        <w:rPr>
          <w:rFonts w:asciiTheme="minorHAnsi" w:hAnsiTheme="minorHAnsi"/>
          <w:color w:val="000000"/>
          <w:sz w:val="22"/>
          <w:szCs w:val="22"/>
        </w:rPr>
        <w:tab/>
      </w:r>
      <w:r w:rsidR="001C4E74">
        <w:rPr>
          <w:rFonts w:asciiTheme="minorHAnsi" w:hAnsiTheme="minorHAnsi"/>
          <w:color w:val="000000"/>
          <w:sz w:val="22"/>
          <w:szCs w:val="22"/>
        </w:rPr>
        <w:tab/>
        <w:t>$</w:t>
      </w:r>
      <w:r>
        <w:rPr>
          <w:rFonts w:asciiTheme="minorHAnsi" w:hAnsiTheme="minorHAnsi"/>
          <w:color w:val="000000"/>
          <w:sz w:val="22"/>
          <w:szCs w:val="22"/>
        </w:rPr>
        <w:t>120</w:t>
      </w:r>
      <w:r w:rsidR="001C4E74">
        <w:rPr>
          <w:rFonts w:asciiTheme="minorHAnsi" w:hAnsiTheme="minorHAnsi"/>
          <w:color w:val="000000"/>
          <w:sz w:val="22"/>
          <w:szCs w:val="22"/>
        </w:rPr>
        <w:t>,</w:t>
      </w:r>
      <w:r>
        <w:rPr>
          <w:rFonts w:asciiTheme="minorHAnsi" w:hAnsiTheme="minorHAnsi"/>
          <w:color w:val="000000"/>
          <w:sz w:val="22"/>
          <w:szCs w:val="22"/>
        </w:rPr>
        <w:t>000</w:t>
      </w:r>
    </w:p>
    <w:p w14:paraId="3C7C4D0B" w14:textId="77777777" w:rsidR="004830DF" w:rsidRDefault="004830DF" w:rsidP="004830DF">
      <w:pPr>
        <w:pStyle w:val="NormalWeb"/>
        <w:spacing w:before="0" w:beforeAutospacing="0" w:after="0" w:afterAutospacing="0"/>
        <w:rPr>
          <w:rFonts w:asciiTheme="minorHAnsi" w:hAnsiTheme="minorHAnsi"/>
          <w:color w:val="000000"/>
          <w:sz w:val="22"/>
          <w:szCs w:val="22"/>
        </w:rPr>
      </w:pPr>
    </w:p>
    <w:p w14:paraId="4CEF675D" w14:textId="3B6679CA" w:rsidR="001C4E74" w:rsidRPr="001C4E74" w:rsidRDefault="001C4E74" w:rsidP="004830DF">
      <w:pPr>
        <w:pStyle w:val="NormalWeb"/>
        <w:spacing w:before="0" w:beforeAutospacing="0" w:after="0" w:afterAutospacing="0"/>
        <w:rPr>
          <w:rFonts w:asciiTheme="minorHAnsi" w:hAnsiTheme="minorHAnsi"/>
          <w:b/>
          <w:color w:val="000000"/>
          <w:sz w:val="22"/>
          <w:szCs w:val="22"/>
        </w:rPr>
      </w:pPr>
      <w:r w:rsidRPr="001C4E74">
        <w:rPr>
          <w:rFonts w:asciiTheme="minorHAnsi" w:hAnsiTheme="minorHAnsi"/>
          <w:b/>
          <w:color w:val="000000"/>
          <w:sz w:val="22"/>
          <w:szCs w:val="22"/>
        </w:rPr>
        <w:t>Academic Year Research Fellowships</w:t>
      </w:r>
    </w:p>
    <w:p w14:paraId="70425291" w14:textId="1B054950" w:rsidR="001C4E74" w:rsidRDefault="001C4E74" w:rsidP="004830DF">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b/>
        <w:t>Faculty (25 @ $</w:t>
      </w:r>
      <w:r w:rsidR="00F5282D">
        <w:rPr>
          <w:rFonts w:asciiTheme="minorHAnsi" w:hAnsiTheme="minorHAnsi"/>
          <w:color w:val="000000"/>
          <w:sz w:val="22"/>
          <w:szCs w:val="22"/>
        </w:rPr>
        <w:t>1,0</w:t>
      </w:r>
      <w:r>
        <w:rPr>
          <w:rFonts w:asciiTheme="minorHAnsi" w:hAnsiTheme="minorHAnsi"/>
          <w:color w:val="000000"/>
          <w:sz w:val="22"/>
          <w:szCs w:val="22"/>
        </w:rPr>
        <w:t>00)</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w:t>
      </w:r>
      <w:r w:rsidR="00F5282D">
        <w:rPr>
          <w:rFonts w:asciiTheme="minorHAnsi" w:hAnsiTheme="minorHAnsi"/>
          <w:color w:val="000000"/>
          <w:sz w:val="22"/>
          <w:szCs w:val="22"/>
        </w:rPr>
        <w:t>25,000</w:t>
      </w:r>
    </w:p>
    <w:p w14:paraId="6F2B9A99" w14:textId="279144EE" w:rsidR="001C4E74" w:rsidRPr="001C4E74" w:rsidRDefault="001C4E74" w:rsidP="004830DF">
      <w:pPr>
        <w:pStyle w:val="NormalWeb"/>
        <w:spacing w:before="0" w:beforeAutospacing="0" w:after="0" w:afterAutospacing="0"/>
        <w:rPr>
          <w:rFonts w:asciiTheme="minorHAnsi" w:hAnsiTheme="minorHAnsi"/>
          <w:color w:val="000000"/>
          <w:sz w:val="22"/>
          <w:szCs w:val="22"/>
          <w:u w:val="single"/>
        </w:rPr>
      </w:pPr>
      <w:r>
        <w:rPr>
          <w:rFonts w:asciiTheme="minorHAnsi" w:hAnsiTheme="minorHAnsi"/>
          <w:color w:val="000000"/>
          <w:sz w:val="22"/>
          <w:szCs w:val="22"/>
        </w:rPr>
        <w:tab/>
      </w:r>
      <w:r w:rsidRPr="001C4E74">
        <w:rPr>
          <w:rFonts w:asciiTheme="minorHAnsi" w:hAnsiTheme="minorHAnsi"/>
          <w:color w:val="000000"/>
          <w:sz w:val="22"/>
          <w:szCs w:val="22"/>
          <w:u w:val="single"/>
        </w:rPr>
        <w:t>Project Supplies</w:t>
      </w:r>
      <w:r w:rsidRPr="001C4E74">
        <w:rPr>
          <w:rFonts w:asciiTheme="minorHAnsi" w:hAnsiTheme="minorHAnsi"/>
          <w:color w:val="000000"/>
          <w:sz w:val="22"/>
          <w:szCs w:val="22"/>
          <w:u w:val="single"/>
        </w:rPr>
        <w:tab/>
        <w:t xml:space="preserve"> (25 @ $</w:t>
      </w:r>
      <w:r w:rsidR="00F5282D">
        <w:rPr>
          <w:rFonts w:asciiTheme="minorHAnsi" w:hAnsiTheme="minorHAnsi"/>
          <w:color w:val="000000"/>
          <w:sz w:val="22"/>
          <w:szCs w:val="22"/>
          <w:u w:val="single"/>
        </w:rPr>
        <w:t>1,0</w:t>
      </w:r>
      <w:r w:rsidRPr="001C4E74">
        <w:rPr>
          <w:rFonts w:asciiTheme="minorHAnsi" w:hAnsiTheme="minorHAnsi"/>
          <w:color w:val="000000"/>
          <w:sz w:val="22"/>
          <w:szCs w:val="22"/>
          <w:u w:val="single"/>
        </w:rPr>
        <w:t>00)</w:t>
      </w:r>
      <w:r w:rsidRPr="001C4E74">
        <w:rPr>
          <w:rFonts w:asciiTheme="minorHAnsi" w:hAnsiTheme="minorHAnsi"/>
          <w:color w:val="000000"/>
          <w:sz w:val="22"/>
          <w:szCs w:val="22"/>
          <w:u w:val="single"/>
        </w:rPr>
        <w:tab/>
      </w:r>
      <w:r w:rsidRPr="001C4E74">
        <w:rPr>
          <w:rFonts w:asciiTheme="minorHAnsi" w:hAnsiTheme="minorHAnsi"/>
          <w:color w:val="000000"/>
          <w:sz w:val="22"/>
          <w:szCs w:val="22"/>
          <w:u w:val="single"/>
        </w:rPr>
        <w:tab/>
      </w:r>
      <w:r w:rsidRPr="001C4E74">
        <w:rPr>
          <w:rFonts w:asciiTheme="minorHAnsi" w:hAnsiTheme="minorHAnsi"/>
          <w:color w:val="000000"/>
          <w:sz w:val="22"/>
          <w:szCs w:val="22"/>
          <w:u w:val="single"/>
        </w:rPr>
        <w:tab/>
        <w:t>$</w:t>
      </w:r>
      <w:r w:rsidR="00F5282D">
        <w:rPr>
          <w:rFonts w:asciiTheme="minorHAnsi" w:hAnsiTheme="minorHAnsi"/>
          <w:color w:val="000000"/>
          <w:sz w:val="22"/>
          <w:szCs w:val="22"/>
          <w:u w:val="single"/>
        </w:rPr>
        <w:t>25,0</w:t>
      </w:r>
      <w:r w:rsidRPr="001C4E74">
        <w:rPr>
          <w:rFonts w:asciiTheme="minorHAnsi" w:hAnsiTheme="minorHAnsi"/>
          <w:color w:val="000000"/>
          <w:sz w:val="22"/>
          <w:szCs w:val="22"/>
          <w:u w:val="single"/>
        </w:rPr>
        <w:t>00</w:t>
      </w:r>
    </w:p>
    <w:p w14:paraId="3BAD55CA" w14:textId="019BA55B" w:rsidR="001C4E74" w:rsidRDefault="001C4E74" w:rsidP="004830DF">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b/>
        <w:t>Total</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w:t>
      </w:r>
      <w:r w:rsidR="00F5282D">
        <w:rPr>
          <w:rFonts w:asciiTheme="minorHAnsi" w:hAnsiTheme="minorHAnsi"/>
          <w:color w:val="000000"/>
          <w:sz w:val="22"/>
          <w:szCs w:val="22"/>
        </w:rPr>
        <w:t>50</w:t>
      </w:r>
      <w:r>
        <w:rPr>
          <w:rFonts w:asciiTheme="minorHAnsi" w:hAnsiTheme="minorHAnsi"/>
          <w:color w:val="000000"/>
          <w:sz w:val="22"/>
          <w:szCs w:val="22"/>
        </w:rPr>
        <w:t>,000</w:t>
      </w:r>
    </w:p>
    <w:p w14:paraId="752E67C7" w14:textId="77777777" w:rsidR="001C4E74" w:rsidRDefault="001C4E74" w:rsidP="001C4E74">
      <w:pPr>
        <w:spacing w:after="0"/>
        <w:rPr>
          <w:color w:val="000000"/>
        </w:rPr>
      </w:pPr>
    </w:p>
    <w:p w14:paraId="07D0C12C" w14:textId="77777777" w:rsidR="001C4E74" w:rsidRPr="001C4E74" w:rsidRDefault="001C4E74" w:rsidP="001C4E74">
      <w:pPr>
        <w:spacing w:after="0" w:line="240" w:lineRule="auto"/>
        <w:rPr>
          <w:b/>
          <w:color w:val="000000"/>
        </w:rPr>
      </w:pPr>
      <w:r w:rsidRPr="001C4E74">
        <w:rPr>
          <w:b/>
          <w:color w:val="000000"/>
        </w:rPr>
        <w:t>Research Intensive Course Support</w:t>
      </w:r>
    </w:p>
    <w:p w14:paraId="3737644F" w14:textId="2FD97C40" w:rsidR="001C4E74" w:rsidRDefault="001C4E74" w:rsidP="001C4E74">
      <w:pPr>
        <w:spacing w:after="0"/>
        <w:rPr>
          <w:color w:val="000000"/>
        </w:rPr>
      </w:pPr>
      <w:r>
        <w:rPr>
          <w:color w:val="000000"/>
        </w:rPr>
        <w:tab/>
        <w:t>Faculty (15 @ $</w:t>
      </w:r>
      <w:r w:rsidR="00F5282D">
        <w:rPr>
          <w:color w:val="000000"/>
        </w:rPr>
        <w:t>1,0</w:t>
      </w:r>
      <w:r>
        <w:rPr>
          <w:color w:val="000000"/>
        </w:rPr>
        <w:t>00)</w:t>
      </w:r>
      <w:r>
        <w:rPr>
          <w:color w:val="000000"/>
        </w:rPr>
        <w:tab/>
      </w:r>
      <w:r>
        <w:rPr>
          <w:color w:val="000000"/>
        </w:rPr>
        <w:tab/>
      </w:r>
      <w:r>
        <w:rPr>
          <w:color w:val="000000"/>
        </w:rPr>
        <w:tab/>
      </w:r>
      <w:r>
        <w:rPr>
          <w:color w:val="000000"/>
        </w:rPr>
        <w:tab/>
        <w:t>$</w:t>
      </w:r>
      <w:r w:rsidR="00F5282D">
        <w:rPr>
          <w:color w:val="000000"/>
        </w:rPr>
        <w:t>15,0</w:t>
      </w:r>
      <w:r>
        <w:rPr>
          <w:color w:val="000000"/>
        </w:rPr>
        <w:t>00</w:t>
      </w:r>
    </w:p>
    <w:p w14:paraId="5576390A" w14:textId="77777777" w:rsidR="001C4E74" w:rsidRPr="001C4E74" w:rsidRDefault="001C4E74" w:rsidP="001C4E74">
      <w:pPr>
        <w:spacing w:after="0"/>
        <w:rPr>
          <w:color w:val="000000"/>
          <w:u w:val="single"/>
        </w:rPr>
      </w:pPr>
      <w:r>
        <w:rPr>
          <w:color w:val="000000"/>
        </w:rPr>
        <w:tab/>
      </w:r>
      <w:r w:rsidRPr="001C4E74">
        <w:rPr>
          <w:color w:val="000000"/>
          <w:u w:val="single"/>
        </w:rPr>
        <w:t>Project Supplies (15 @ $1,000)</w:t>
      </w:r>
      <w:r w:rsidRPr="001C4E74">
        <w:rPr>
          <w:color w:val="000000"/>
          <w:u w:val="single"/>
        </w:rPr>
        <w:tab/>
      </w:r>
      <w:r w:rsidRPr="001C4E74">
        <w:rPr>
          <w:color w:val="000000"/>
          <w:u w:val="single"/>
        </w:rPr>
        <w:tab/>
      </w:r>
      <w:r w:rsidRPr="001C4E74">
        <w:rPr>
          <w:color w:val="000000"/>
          <w:u w:val="single"/>
        </w:rPr>
        <w:tab/>
        <w:t>$15,000</w:t>
      </w:r>
    </w:p>
    <w:p w14:paraId="2DF297AE" w14:textId="4535BA35" w:rsidR="001C4E74" w:rsidRDefault="001C4E74">
      <w:pPr>
        <w:rPr>
          <w:color w:val="000000"/>
        </w:rPr>
      </w:pPr>
      <w:r>
        <w:rPr>
          <w:color w:val="000000"/>
        </w:rPr>
        <w:tab/>
        <w:t>Total</w:t>
      </w:r>
      <w:r>
        <w:rPr>
          <w:color w:val="000000"/>
        </w:rPr>
        <w:tab/>
      </w:r>
      <w:r>
        <w:rPr>
          <w:color w:val="000000"/>
        </w:rPr>
        <w:tab/>
      </w:r>
      <w:r>
        <w:rPr>
          <w:color w:val="000000"/>
        </w:rPr>
        <w:tab/>
      </w:r>
      <w:r>
        <w:rPr>
          <w:color w:val="000000"/>
        </w:rPr>
        <w:tab/>
      </w:r>
      <w:r>
        <w:rPr>
          <w:color w:val="000000"/>
        </w:rPr>
        <w:tab/>
      </w:r>
      <w:r>
        <w:rPr>
          <w:color w:val="000000"/>
        </w:rPr>
        <w:tab/>
        <w:t>$</w:t>
      </w:r>
      <w:r w:rsidR="00F5282D">
        <w:rPr>
          <w:color w:val="000000"/>
        </w:rPr>
        <w:t>30,0</w:t>
      </w:r>
      <w:r>
        <w:rPr>
          <w:color w:val="000000"/>
        </w:rPr>
        <w:t>00</w:t>
      </w:r>
    </w:p>
    <w:p w14:paraId="1D9C20B1" w14:textId="77777777" w:rsidR="001C4E74" w:rsidRPr="00B076B5" w:rsidRDefault="001C4E74" w:rsidP="001C4E74">
      <w:pPr>
        <w:spacing w:after="0"/>
        <w:rPr>
          <w:b/>
          <w:color w:val="000000"/>
        </w:rPr>
      </w:pPr>
      <w:r w:rsidRPr="00B076B5">
        <w:rPr>
          <w:b/>
          <w:color w:val="000000"/>
        </w:rPr>
        <w:t>Student Travel to Conferences</w:t>
      </w:r>
    </w:p>
    <w:p w14:paraId="245E769D" w14:textId="40A47F2D" w:rsidR="001C4E74" w:rsidRPr="00F5282D" w:rsidRDefault="001C4E74" w:rsidP="00B076B5">
      <w:pPr>
        <w:spacing w:after="0"/>
        <w:rPr>
          <w:color w:val="000000"/>
        </w:rPr>
      </w:pPr>
      <w:r>
        <w:rPr>
          <w:color w:val="000000"/>
        </w:rPr>
        <w:tab/>
      </w:r>
      <w:r w:rsidRPr="00F5282D">
        <w:rPr>
          <w:color w:val="000000"/>
        </w:rPr>
        <w:t>Travel Stipends (50 @ $</w:t>
      </w:r>
      <w:r w:rsidR="00F5282D" w:rsidRPr="00F5282D">
        <w:rPr>
          <w:color w:val="000000"/>
        </w:rPr>
        <w:t>75</w:t>
      </w:r>
      <w:r w:rsidRPr="00F5282D">
        <w:rPr>
          <w:color w:val="000000"/>
        </w:rPr>
        <w:t>0)</w:t>
      </w:r>
      <w:r w:rsidRPr="00F5282D">
        <w:rPr>
          <w:color w:val="000000"/>
        </w:rPr>
        <w:tab/>
      </w:r>
      <w:r w:rsidRPr="00F5282D">
        <w:rPr>
          <w:color w:val="000000"/>
        </w:rPr>
        <w:tab/>
      </w:r>
      <w:r w:rsidRPr="00F5282D">
        <w:rPr>
          <w:color w:val="000000"/>
        </w:rPr>
        <w:tab/>
        <w:t>$</w:t>
      </w:r>
      <w:r w:rsidR="00F5282D" w:rsidRPr="00F5282D">
        <w:rPr>
          <w:color w:val="000000"/>
        </w:rPr>
        <w:t>37</w:t>
      </w:r>
      <w:r w:rsidRPr="00F5282D">
        <w:rPr>
          <w:color w:val="000000"/>
        </w:rPr>
        <w:t>,</w:t>
      </w:r>
      <w:r w:rsidR="00F5282D" w:rsidRPr="00F5282D">
        <w:rPr>
          <w:color w:val="000000"/>
        </w:rPr>
        <w:t>5</w:t>
      </w:r>
      <w:r w:rsidRPr="00F5282D">
        <w:rPr>
          <w:color w:val="000000"/>
        </w:rPr>
        <w:t>00</w:t>
      </w:r>
    </w:p>
    <w:p w14:paraId="2759F1F8" w14:textId="3DBBA35D" w:rsidR="00F5282D" w:rsidRPr="00F5282D" w:rsidRDefault="00F5282D" w:rsidP="00B076B5">
      <w:pPr>
        <w:spacing w:after="0"/>
        <w:rPr>
          <w:color w:val="000000"/>
          <w:u w:val="single"/>
        </w:rPr>
      </w:pPr>
      <w:r w:rsidRPr="00F5282D">
        <w:rPr>
          <w:color w:val="000000"/>
        </w:rPr>
        <w:tab/>
      </w:r>
      <w:r w:rsidRPr="00F5282D">
        <w:rPr>
          <w:color w:val="000000"/>
          <w:u w:val="single"/>
        </w:rPr>
        <w:t>Unanticipated Costs</w:t>
      </w:r>
      <w:r>
        <w:rPr>
          <w:color w:val="000000"/>
          <w:u w:val="single"/>
        </w:rPr>
        <w:t xml:space="preserve"> (e.g. travel insurance)</w:t>
      </w:r>
      <w:r w:rsidRPr="00F5282D">
        <w:rPr>
          <w:color w:val="000000"/>
          <w:u w:val="single"/>
        </w:rPr>
        <w:tab/>
        <w:t>$5,000</w:t>
      </w:r>
    </w:p>
    <w:p w14:paraId="63CA6C8C" w14:textId="20322F2F" w:rsidR="00B076B5" w:rsidRDefault="001C4E74" w:rsidP="00B076B5">
      <w:pPr>
        <w:spacing w:after="0"/>
        <w:rPr>
          <w:color w:val="000000"/>
        </w:rPr>
      </w:pPr>
      <w:r>
        <w:rPr>
          <w:color w:val="000000"/>
        </w:rPr>
        <w:tab/>
        <w:t>Total</w:t>
      </w:r>
      <w:r w:rsidR="00B076B5">
        <w:rPr>
          <w:color w:val="000000"/>
        </w:rPr>
        <w:tab/>
      </w:r>
      <w:r w:rsidR="00B076B5">
        <w:rPr>
          <w:color w:val="000000"/>
        </w:rPr>
        <w:tab/>
      </w:r>
      <w:r w:rsidR="00B076B5">
        <w:rPr>
          <w:color w:val="000000"/>
        </w:rPr>
        <w:tab/>
      </w:r>
      <w:r w:rsidR="00B076B5">
        <w:rPr>
          <w:color w:val="000000"/>
        </w:rPr>
        <w:tab/>
      </w:r>
      <w:r w:rsidR="00B076B5">
        <w:rPr>
          <w:color w:val="000000"/>
        </w:rPr>
        <w:tab/>
      </w:r>
      <w:r w:rsidR="00B076B5">
        <w:rPr>
          <w:color w:val="000000"/>
        </w:rPr>
        <w:tab/>
        <w:t>$</w:t>
      </w:r>
      <w:r w:rsidR="00F5282D">
        <w:rPr>
          <w:color w:val="000000"/>
        </w:rPr>
        <w:t>42,5</w:t>
      </w:r>
      <w:r w:rsidR="00B076B5">
        <w:rPr>
          <w:color w:val="000000"/>
        </w:rPr>
        <w:t>00</w:t>
      </w:r>
    </w:p>
    <w:p w14:paraId="48A32D5F" w14:textId="77777777" w:rsidR="00B076B5" w:rsidRDefault="00B076B5" w:rsidP="00B076B5">
      <w:pPr>
        <w:spacing w:after="0"/>
        <w:rPr>
          <w:color w:val="000000"/>
        </w:rPr>
      </w:pPr>
    </w:p>
    <w:p w14:paraId="5E754534" w14:textId="77777777" w:rsidR="00B076B5" w:rsidRPr="00B076B5" w:rsidRDefault="00B076B5" w:rsidP="00B076B5">
      <w:pPr>
        <w:spacing w:after="0"/>
        <w:rPr>
          <w:b/>
          <w:color w:val="000000"/>
        </w:rPr>
      </w:pPr>
      <w:r w:rsidRPr="00B076B5">
        <w:rPr>
          <w:b/>
          <w:color w:val="000000"/>
        </w:rPr>
        <w:t>Administrative Costs</w:t>
      </w:r>
    </w:p>
    <w:p w14:paraId="0CAEFC86" w14:textId="77777777" w:rsidR="00B076B5" w:rsidRDefault="00B076B5" w:rsidP="00B076B5">
      <w:pPr>
        <w:spacing w:after="0"/>
        <w:rPr>
          <w:color w:val="000000"/>
        </w:rPr>
      </w:pPr>
      <w:r>
        <w:rPr>
          <w:color w:val="000000"/>
        </w:rPr>
        <w:tab/>
        <w:t>Printing</w:t>
      </w:r>
      <w:r>
        <w:rPr>
          <w:color w:val="000000"/>
        </w:rPr>
        <w:tab/>
      </w:r>
      <w:r>
        <w:rPr>
          <w:color w:val="000000"/>
        </w:rPr>
        <w:tab/>
      </w:r>
      <w:r>
        <w:rPr>
          <w:color w:val="000000"/>
        </w:rPr>
        <w:tab/>
      </w:r>
      <w:r>
        <w:rPr>
          <w:color w:val="000000"/>
        </w:rPr>
        <w:tab/>
      </w:r>
      <w:r>
        <w:rPr>
          <w:color w:val="000000"/>
        </w:rPr>
        <w:tab/>
      </w:r>
      <w:r>
        <w:rPr>
          <w:color w:val="000000"/>
        </w:rPr>
        <w:tab/>
        <w:t>$5,000</w:t>
      </w:r>
    </w:p>
    <w:p w14:paraId="0CEED868" w14:textId="77777777" w:rsidR="00B076B5" w:rsidRPr="00B076B5" w:rsidRDefault="00B076B5" w:rsidP="00B076B5">
      <w:pPr>
        <w:spacing w:after="0"/>
        <w:rPr>
          <w:color w:val="000000"/>
          <w:u w:val="single"/>
        </w:rPr>
      </w:pPr>
      <w:r>
        <w:rPr>
          <w:color w:val="000000"/>
        </w:rPr>
        <w:tab/>
      </w:r>
      <w:r w:rsidRPr="00B076B5">
        <w:rPr>
          <w:color w:val="000000"/>
          <w:u w:val="single"/>
        </w:rPr>
        <w:t>Additional Administrative Costs</w:t>
      </w:r>
      <w:r w:rsidRPr="00B076B5">
        <w:rPr>
          <w:color w:val="000000"/>
          <w:u w:val="single"/>
        </w:rPr>
        <w:tab/>
      </w:r>
      <w:r w:rsidRPr="00B076B5">
        <w:rPr>
          <w:color w:val="000000"/>
          <w:u w:val="single"/>
        </w:rPr>
        <w:tab/>
      </w:r>
      <w:r w:rsidRPr="00B076B5">
        <w:rPr>
          <w:color w:val="000000"/>
          <w:u w:val="single"/>
        </w:rPr>
        <w:tab/>
        <w:t>$2,500</w:t>
      </w:r>
    </w:p>
    <w:p w14:paraId="4048E734" w14:textId="77777777" w:rsidR="00F5282D" w:rsidRDefault="00B076B5" w:rsidP="00B076B5">
      <w:pPr>
        <w:spacing w:after="0"/>
        <w:rPr>
          <w:color w:val="000000"/>
        </w:rPr>
      </w:pPr>
      <w:r>
        <w:rPr>
          <w:color w:val="000000"/>
        </w:rPr>
        <w:tab/>
        <w:t>Total</w:t>
      </w:r>
      <w:r>
        <w:rPr>
          <w:color w:val="000000"/>
        </w:rPr>
        <w:tab/>
      </w:r>
      <w:r>
        <w:rPr>
          <w:color w:val="000000"/>
        </w:rPr>
        <w:tab/>
      </w:r>
      <w:r>
        <w:rPr>
          <w:color w:val="000000"/>
        </w:rPr>
        <w:tab/>
      </w:r>
      <w:r>
        <w:rPr>
          <w:color w:val="000000"/>
        </w:rPr>
        <w:tab/>
      </w:r>
      <w:r>
        <w:rPr>
          <w:color w:val="000000"/>
        </w:rPr>
        <w:tab/>
      </w:r>
      <w:r>
        <w:rPr>
          <w:color w:val="000000"/>
        </w:rPr>
        <w:tab/>
        <w:t>$7,500</w:t>
      </w:r>
    </w:p>
    <w:p w14:paraId="13CA3F74" w14:textId="77777777" w:rsidR="00F5282D" w:rsidRDefault="00F5282D" w:rsidP="00B076B5">
      <w:pPr>
        <w:spacing w:after="0"/>
        <w:rPr>
          <w:color w:val="000000"/>
        </w:rPr>
      </w:pPr>
    </w:p>
    <w:p w14:paraId="0F9155AB" w14:textId="59E2080A" w:rsidR="004830DF" w:rsidRPr="00F5282D" w:rsidRDefault="00F5282D" w:rsidP="00B076B5">
      <w:pPr>
        <w:spacing w:after="0"/>
        <w:rPr>
          <w:b/>
          <w:color w:val="000000"/>
        </w:rPr>
      </w:pPr>
      <w:r w:rsidRPr="00F5282D">
        <w:rPr>
          <w:b/>
          <w:color w:val="000000"/>
        </w:rPr>
        <w:t>Total</w:t>
      </w:r>
      <w:r w:rsidRPr="00F5282D">
        <w:rPr>
          <w:b/>
          <w:color w:val="000000"/>
        </w:rPr>
        <w:tab/>
      </w:r>
      <w:r w:rsidRPr="00F5282D">
        <w:rPr>
          <w:b/>
          <w:color w:val="000000"/>
        </w:rPr>
        <w:tab/>
      </w:r>
      <w:r w:rsidRPr="00F5282D">
        <w:rPr>
          <w:b/>
          <w:color w:val="000000"/>
        </w:rPr>
        <w:tab/>
      </w:r>
      <w:r w:rsidRPr="00F5282D">
        <w:rPr>
          <w:b/>
          <w:color w:val="000000"/>
        </w:rPr>
        <w:tab/>
      </w:r>
      <w:r w:rsidRPr="00F5282D">
        <w:rPr>
          <w:b/>
          <w:color w:val="000000"/>
        </w:rPr>
        <w:tab/>
      </w:r>
      <w:r w:rsidRPr="00F5282D">
        <w:rPr>
          <w:b/>
          <w:color w:val="000000"/>
        </w:rPr>
        <w:tab/>
      </w:r>
      <w:r w:rsidRPr="00F5282D">
        <w:rPr>
          <w:b/>
          <w:color w:val="000000"/>
        </w:rPr>
        <w:tab/>
        <w:t>$250,000</w:t>
      </w:r>
      <w:r w:rsidR="004830DF" w:rsidRPr="00F5282D">
        <w:rPr>
          <w:b/>
          <w:color w:val="000000"/>
        </w:rPr>
        <w:br w:type="page"/>
      </w:r>
    </w:p>
    <w:p w14:paraId="19B15713" w14:textId="59149F1F" w:rsidR="004830DF" w:rsidRPr="004830DF" w:rsidRDefault="004830DF" w:rsidP="004830DF">
      <w:pPr>
        <w:pStyle w:val="NormalWeb"/>
        <w:spacing w:before="0" w:beforeAutospacing="0" w:after="0" w:afterAutospacing="0"/>
        <w:jc w:val="center"/>
        <w:rPr>
          <w:rFonts w:asciiTheme="minorHAnsi" w:hAnsiTheme="minorHAnsi"/>
          <w:b/>
          <w:sz w:val="28"/>
          <w:szCs w:val="28"/>
        </w:rPr>
      </w:pPr>
      <w:r w:rsidRPr="00077B61">
        <w:rPr>
          <w:rFonts w:asciiTheme="minorHAnsi" w:hAnsiTheme="minorHAnsi"/>
          <w:b/>
          <w:color w:val="000000"/>
          <w:sz w:val="28"/>
          <w:szCs w:val="22"/>
        </w:rPr>
        <w:lastRenderedPageBreak/>
        <w:t xml:space="preserve">Appendix </w:t>
      </w:r>
      <w:r>
        <w:rPr>
          <w:rFonts w:asciiTheme="minorHAnsi" w:hAnsiTheme="minorHAnsi"/>
          <w:b/>
          <w:color w:val="000000"/>
          <w:sz w:val="28"/>
          <w:szCs w:val="22"/>
        </w:rPr>
        <w:t xml:space="preserve">B: </w:t>
      </w:r>
      <w:r w:rsidRPr="004830DF">
        <w:rPr>
          <w:rFonts w:asciiTheme="minorHAnsi" w:hAnsiTheme="minorHAnsi"/>
          <w:b/>
          <w:sz w:val="28"/>
          <w:szCs w:val="28"/>
        </w:rPr>
        <w:t xml:space="preserve">Strategy 3 Timeline </w:t>
      </w:r>
    </w:p>
    <w:p w14:paraId="4531D476" w14:textId="77777777" w:rsidR="004830DF" w:rsidRDefault="004830DF" w:rsidP="004830DF">
      <w:pPr>
        <w:spacing w:after="0" w:line="240" w:lineRule="auto"/>
        <w:rPr>
          <w:b/>
        </w:rPr>
      </w:pPr>
    </w:p>
    <w:p w14:paraId="36B94934" w14:textId="34DE928B" w:rsidR="004830DF" w:rsidRPr="004830DF" w:rsidRDefault="004830DF" w:rsidP="004830DF">
      <w:pPr>
        <w:spacing w:line="240" w:lineRule="auto"/>
      </w:pPr>
      <w:r w:rsidRPr="004830DF">
        <w:t>Given the volume of recommendations in Strategy #3, an implementation timeline is provided below for ease of reference.</w:t>
      </w:r>
    </w:p>
    <w:p w14:paraId="43662E32" w14:textId="77777777" w:rsidR="004830DF" w:rsidRPr="004830DF" w:rsidRDefault="004830DF" w:rsidP="007B0EC3">
      <w:pPr>
        <w:spacing w:after="0" w:line="240" w:lineRule="auto"/>
        <w:rPr>
          <w:b/>
        </w:rPr>
      </w:pPr>
      <w:r w:rsidRPr="004830DF">
        <w:rPr>
          <w:b/>
        </w:rPr>
        <w:t>Spring 2017</w:t>
      </w:r>
    </w:p>
    <w:p w14:paraId="42071A24" w14:textId="34DCCDFA" w:rsidR="004830DF" w:rsidRPr="004830DF" w:rsidRDefault="004830DF" w:rsidP="004830DF">
      <w:pPr>
        <w:pStyle w:val="NormalWeb"/>
        <w:numPr>
          <w:ilvl w:val="0"/>
          <w:numId w:val="10"/>
        </w:numPr>
        <w:spacing w:before="0" w:beforeAutospacing="0" w:after="0" w:afterAutospacing="0"/>
        <w:rPr>
          <w:rFonts w:asciiTheme="minorHAnsi" w:hAnsiTheme="minorHAnsi"/>
          <w:sz w:val="22"/>
          <w:szCs w:val="22"/>
        </w:rPr>
      </w:pPr>
      <w:r w:rsidRPr="004830DF">
        <w:rPr>
          <w:rFonts w:asciiTheme="minorHAnsi" w:hAnsiTheme="minorHAnsi"/>
          <w:sz w:val="22"/>
          <w:szCs w:val="22"/>
        </w:rPr>
        <w:t xml:space="preserve">Select first </w:t>
      </w:r>
      <w:proofErr w:type="spellStart"/>
      <w:r w:rsidRPr="004830DF">
        <w:rPr>
          <w:rFonts w:asciiTheme="minorHAnsi" w:hAnsiTheme="minorHAnsi"/>
          <w:sz w:val="22"/>
          <w:szCs w:val="22"/>
        </w:rPr>
        <w:t>SoTL</w:t>
      </w:r>
      <w:proofErr w:type="spellEnd"/>
      <w:r w:rsidRPr="004830DF">
        <w:rPr>
          <w:rFonts w:asciiTheme="minorHAnsi" w:hAnsiTheme="minorHAnsi"/>
          <w:sz w:val="22"/>
          <w:szCs w:val="22"/>
        </w:rPr>
        <w:t xml:space="preserve"> consultant in late spring 2017. (</w:t>
      </w:r>
      <w:r>
        <w:rPr>
          <w:rFonts w:asciiTheme="minorHAnsi" w:hAnsiTheme="minorHAnsi"/>
          <w:sz w:val="22"/>
          <w:szCs w:val="22"/>
        </w:rPr>
        <w:t>Action Step #1, Task #2</w:t>
      </w:r>
      <w:r w:rsidRPr="004830DF">
        <w:rPr>
          <w:rFonts w:asciiTheme="minorHAnsi" w:hAnsiTheme="minorHAnsi"/>
          <w:sz w:val="22"/>
          <w:szCs w:val="22"/>
        </w:rPr>
        <w:t>)</w:t>
      </w:r>
    </w:p>
    <w:p w14:paraId="23034AF3" w14:textId="77777777" w:rsidR="004830DF" w:rsidRPr="004830DF" w:rsidRDefault="004830DF" w:rsidP="004830DF">
      <w:pPr>
        <w:pStyle w:val="NormalWeb"/>
        <w:spacing w:before="0" w:beforeAutospacing="0" w:after="0" w:afterAutospacing="0"/>
        <w:rPr>
          <w:rFonts w:asciiTheme="minorHAnsi" w:hAnsiTheme="minorHAnsi"/>
          <w:sz w:val="22"/>
          <w:szCs w:val="22"/>
        </w:rPr>
      </w:pPr>
    </w:p>
    <w:p w14:paraId="505F0A78" w14:textId="77777777" w:rsidR="004830DF" w:rsidRPr="004830DF" w:rsidRDefault="004830DF" w:rsidP="007B0EC3">
      <w:pPr>
        <w:spacing w:after="0" w:line="240" w:lineRule="auto"/>
        <w:rPr>
          <w:b/>
        </w:rPr>
      </w:pPr>
      <w:r w:rsidRPr="004830DF">
        <w:rPr>
          <w:b/>
        </w:rPr>
        <w:t>Summer 2017</w:t>
      </w:r>
    </w:p>
    <w:p w14:paraId="69216E4A" w14:textId="29EACF2F"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Develop curriculum</w:t>
      </w:r>
      <w:r w:rsidR="007B0EC3">
        <w:rPr>
          <w:rFonts w:asciiTheme="minorHAnsi" w:eastAsiaTheme="majorEastAsia" w:hAnsiTheme="minorHAnsi" w:cstheme="majorBidi"/>
          <w:sz w:val="22"/>
          <w:szCs w:val="22"/>
        </w:rPr>
        <w:t xml:space="preserve"> </w:t>
      </w:r>
      <w:r w:rsidR="007B0EC3" w:rsidRPr="00DD13A7">
        <w:rPr>
          <w:rFonts w:asciiTheme="minorHAnsi" w:eastAsiaTheme="majorEastAsia" w:hAnsiTheme="minorHAnsi" w:cstheme="majorBidi"/>
          <w:sz w:val="22"/>
          <w:szCs w:val="22"/>
        </w:rPr>
        <w:t xml:space="preserve">for </w:t>
      </w:r>
      <w:proofErr w:type="spellStart"/>
      <w:r w:rsidR="00DD13A7" w:rsidRPr="00DD13A7">
        <w:rPr>
          <w:rFonts w:asciiTheme="minorHAnsi" w:eastAsiaTheme="majorEastAsia" w:hAnsiTheme="minorHAnsi" w:cstheme="majorBidi"/>
          <w:sz w:val="22"/>
          <w:szCs w:val="22"/>
        </w:rPr>
        <w:t>SoTL</w:t>
      </w:r>
      <w:proofErr w:type="spellEnd"/>
      <w:r w:rsidR="00DD13A7" w:rsidRPr="00DD13A7">
        <w:rPr>
          <w:rFonts w:asciiTheme="minorHAnsi" w:eastAsiaTheme="majorEastAsia" w:hAnsiTheme="minorHAnsi" w:cstheme="majorBidi"/>
          <w:sz w:val="22"/>
          <w:szCs w:val="22"/>
        </w:rPr>
        <w:t xml:space="preserve"> professional development series</w:t>
      </w:r>
      <w:r w:rsidRPr="004830DF">
        <w:rPr>
          <w:rFonts w:asciiTheme="minorHAnsi" w:eastAsiaTheme="majorEastAsia" w:hAnsiTheme="minorHAnsi" w:cstheme="majorBidi"/>
          <w:sz w:val="22"/>
          <w:szCs w:val="22"/>
        </w:rPr>
        <w:t xml:space="preserve"> in summer 2017. (</w:t>
      </w:r>
      <w:r>
        <w:rPr>
          <w:rFonts w:asciiTheme="minorHAnsi" w:hAnsiTheme="minorHAnsi"/>
          <w:sz w:val="22"/>
          <w:szCs w:val="22"/>
        </w:rPr>
        <w:t>Action Step #1</w:t>
      </w:r>
      <w:r>
        <w:rPr>
          <w:rFonts w:asciiTheme="minorHAnsi" w:eastAsiaTheme="majorEastAsia" w:hAnsiTheme="minorHAnsi" w:cstheme="majorBidi"/>
          <w:sz w:val="22"/>
          <w:szCs w:val="22"/>
        </w:rPr>
        <w:t>, Task #1</w:t>
      </w:r>
      <w:r w:rsidRPr="004830DF">
        <w:rPr>
          <w:rFonts w:asciiTheme="minorHAnsi" w:eastAsiaTheme="majorEastAsia" w:hAnsiTheme="minorHAnsi" w:cstheme="majorBidi"/>
          <w:sz w:val="22"/>
          <w:szCs w:val="22"/>
        </w:rPr>
        <w:t>)</w:t>
      </w:r>
    </w:p>
    <w:p w14:paraId="4290FEC6" w14:textId="77777777" w:rsidR="004830DF" w:rsidRPr="004830DF" w:rsidRDefault="004830DF" w:rsidP="004830DF">
      <w:pPr>
        <w:pStyle w:val="NormalWeb"/>
        <w:spacing w:before="0" w:beforeAutospacing="0" w:after="0" w:afterAutospacing="0"/>
        <w:rPr>
          <w:rFonts w:asciiTheme="minorHAnsi" w:hAnsiTheme="minorHAnsi"/>
          <w:sz w:val="22"/>
          <w:szCs w:val="22"/>
        </w:rPr>
      </w:pPr>
    </w:p>
    <w:p w14:paraId="4F8ACF5D" w14:textId="77777777" w:rsidR="004830DF" w:rsidRPr="004830DF" w:rsidRDefault="004830DF" w:rsidP="004830DF">
      <w:pPr>
        <w:pStyle w:val="NormalWeb"/>
        <w:spacing w:before="0" w:beforeAutospacing="0" w:after="0" w:afterAutospacing="0"/>
        <w:rPr>
          <w:rFonts w:asciiTheme="minorHAnsi" w:hAnsiTheme="minorHAnsi"/>
          <w:b/>
          <w:sz w:val="22"/>
          <w:szCs w:val="22"/>
        </w:rPr>
      </w:pPr>
      <w:r w:rsidRPr="004830DF">
        <w:rPr>
          <w:rFonts w:asciiTheme="minorHAnsi" w:hAnsiTheme="minorHAnsi"/>
          <w:b/>
          <w:sz w:val="22"/>
          <w:szCs w:val="22"/>
        </w:rPr>
        <w:t>Fall 2017</w:t>
      </w:r>
    </w:p>
    <w:p w14:paraId="1B421008" w14:textId="301B136B"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 xml:space="preserve">Deliver </w:t>
      </w:r>
      <w:proofErr w:type="spellStart"/>
      <w:r w:rsidRPr="004830DF">
        <w:rPr>
          <w:rFonts w:asciiTheme="minorHAnsi" w:eastAsiaTheme="majorEastAsia" w:hAnsiTheme="minorHAnsi" w:cstheme="majorBidi"/>
          <w:sz w:val="22"/>
          <w:szCs w:val="22"/>
        </w:rPr>
        <w:t>SoTL</w:t>
      </w:r>
      <w:proofErr w:type="spellEnd"/>
      <w:r w:rsidRPr="004830DF">
        <w:rPr>
          <w:rFonts w:asciiTheme="minorHAnsi" w:eastAsiaTheme="majorEastAsia" w:hAnsiTheme="minorHAnsi" w:cstheme="majorBidi"/>
          <w:sz w:val="22"/>
          <w:szCs w:val="22"/>
        </w:rPr>
        <w:t xml:space="preserve"> </w:t>
      </w:r>
      <w:r w:rsidR="00DD13A7">
        <w:rPr>
          <w:rFonts w:asciiTheme="minorHAnsi" w:eastAsiaTheme="majorEastAsia" w:hAnsiTheme="minorHAnsi" w:cstheme="majorBidi"/>
          <w:sz w:val="22"/>
          <w:szCs w:val="22"/>
        </w:rPr>
        <w:t xml:space="preserve">professional development </w:t>
      </w:r>
      <w:r w:rsidRPr="004830DF">
        <w:rPr>
          <w:rFonts w:asciiTheme="minorHAnsi" w:eastAsiaTheme="majorEastAsia" w:hAnsiTheme="minorHAnsi" w:cstheme="majorBidi"/>
          <w:sz w:val="22"/>
          <w:szCs w:val="22"/>
        </w:rPr>
        <w:t>series in fall 2017 or spring 2018. (</w:t>
      </w:r>
      <w:r>
        <w:rPr>
          <w:rFonts w:asciiTheme="minorHAnsi" w:hAnsiTheme="minorHAnsi"/>
          <w:sz w:val="22"/>
          <w:szCs w:val="22"/>
        </w:rPr>
        <w:t>Action Step #1</w:t>
      </w:r>
      <w:r>
        <w:rPr>
          <w:rFonts w:asciiTheme="minorHAnsi" w:eastAsiaTheme="majorEastAsia" w:hAnsiTheme="minorHAnsi" w:cstheme="majorBidi"/>
          <w:sz w:val="22"/>
          <w:szCs w:val="22"/>
        </w:rPr>
        <w:t>, Task #1</w:t>
      </w:r>
      <w:r w:rsidRPr="004830DF">
        <w:rPr>
          <w:rFonts w:asciiTheme="minorHAnsi" w:eastAsiaTheme="majorEastAsia" w:hAnsiTheme="minorHAnsi" w:cstheme="majorBidi"/>
          <w:sz w:val="22"/>
          <w:szCs w:val="22"/>
        </w:rPr>
        <w:t>)</w:t>
      </w:r>
    </w:p>
    <w:p w14:paraId="506DD64D" w14:textId="2CD74429"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 xml:space="preserve">Obtain one </w:t>
      </w:r>
      <w:proofErr w:type="spellStart"/>
      <w:r w:rsidRPr="004830DF">
        <w:rPr>
          <w:rFonts w:asciiTheme="minorHAnsi" w:eastAsiaTheme="majorEastAsia" w:hAnsiTheme="minorHAnsi" w:cstheme="majorBidi"/>
          <w:sz w:val="22"/>
          <w:szCs w:val="22"/>
        </w:rPr>
        <w:t>GAship</w:t>
      </w:r>
      <w:proofErr w:type="spellEnd"/>
      <w:r w:rsidRPr="004830DF">
        <w:rPr>
          <w:rFonts w:asciiTheme="minorHAnsi" w:eastAsiaTheme="majorEastAsia" w:hAnsiTheme="minorHAnsi" w:cstheme="majorBidi"/>
          <w:sz w:val="22"/>
          <w:szCs w:val="22"/>
        </w:rPr>
        <w:t xml:space="preserve"> by fall 2017 or spring 2018.</w:t>
      </w:r>
      <w:r w:rsidRPr="004830DF">
        <w:rPr>
          <w:rFonts w:asciiTheme="minorHAnsi" w:hAnsiTheme="minorHAnsi"/>
          <w:sz w:val="22"/>
          <w:szCs w:val="22"/>
        </w:rPr>
        <w:t xml:space="preserve"> </w:t>
      </w:r>
      <w:r w:rsidR="00D72220">
        <w:rPr>
          <w:rFonts w:asciiTheme="minorHAnsi" w:hAnsiTheme="minorHAnsi"/>
          <w:sz w:val="22"/>
          <w:szCs w:val="22"/>
        </w:rPr>
        <w:t>(</w:t>
      </w:r>
      <w:r>
        <w:rPr>
          <w:rFonts w:asciiTheme="minorHAnsi" w:hAnsiTheme="minorHAnsi"/>
          <w:sz w:val="22"/>
          <w:szCs w:val="22"/>
        </w:rPr>
        <w:t>Action Step #1</w:t>
      </w:r>
      <w:r>
        <w:rPr>
          <w:rFonts w:asciiTheme="minorHAnsi" w:eastAsiaTheme="majorEastAsia" w:hAnsiTheme="minorHAnsi" w:cstheme="majorBidi"/>
          <w:sz w:val="22"/>
          <w:szCs w:val="22"/>
        </w:rPr>
        <w:t>, Task #3</w:t>
      </w:r>
      <w:r w:rsidRPr="004830DF">
        <w:rPr>
          <w:rFonts w:asciiTheme="minorHAnsi" w:eastAsiaTheme="majorEastAsia" w:hAnsiTheme="minorHAnsi" w:cstheme="majorBidi"/>
          <w:sz w:val="22"/>
          <w:szCs w:val="22"/>
        </w:rPr>
        <w:t>)</w:t>
      </w:r>
    </w:p>
    <w:p w14:paraId="20C3282F" w14:textId="409C70AC"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Implement new verbiage in job ads by fall 2017. (</w:t>
      </w:r>
      <w:r>
        <w:rPr>
          <w:rFonts w:asciiTheme="minorHAnsi" w:hAnsiTheme="minorHAnsi"/>
          <w:sz w:val="22"/>
          <w:szCs w:val="22"/>
        </w:rPr>
        <w:t xml:space="preserve">Action Step </w:t>
      </w:r>
      <w:r>
        <w:rPr>
          <w:rFonts w:asciiTheme="minorHAnsi" w:eastAsiaTheme="majorEastAsia" w:hAnsiTheme="minorHAnsi" w:cstheme="majorBidi"/>
          <w:sz w:val="22"/>
          <w:szCs w:val="22"/>
        </w:rPr>
        <w:t>#2, Task #1</w:t>
      </w:r>
      <w:r w:rsidRPr="004830DF">
        <w:rPr>
          <w:rFonts w:asciiTheme="minorHAnsi" w:eastAsiaTheme="majorEastAsia" w:hAnsiTheme="minorHAnsi" w:cstheme="majorBidi"/>
          <w:sz w:val="22"/>
          <w:szCs w:val="22"/>
        </w:rPr>
        <w:t>)</w:t>
      </w:r>
    </w:p>
    <w:p w14:paraId="79E94F3D" w14:textId="61B48EC9"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Survey faculty to identify which databases and journals are needed. (</w:t>
      </w:r>
      <w:r>
        <w:rPr>
          <w:rFonts w:asciiTheme="minorHAnsi" w:hAnsiTheme="minorHAnsi"/>
          <w:sz w:val="22"/>
          <w:szCs w:val="22"/>
        </w:rPr>
        <w:t xml:space="preserve">Action Step </w:t>
      </w:r>
      <w:r>
        <w:rPr>
          <w:rFonts w:asciiTheme="minorHAnsi" w:eastAsiaTheme="majorEastAsia" w:hAnsiTheme="minorHAnsi" w:cstheme="majorBidi"/>
          <w:sz w:val="22"/>
          <w:szCs w:val="22"/>
        </w:rPr>
        <w:t>#2, Task #2</w:t>
      </w:r>
      <w:r w:rsidRPr="004830DF">
        <w:rPr>
          <w:rFonts w:asciiTheme="minorHAnsi" w:eastAsiaTheme="majorEastAsia" w:hAnsiTheme="minorHAnsi" w:cstheme="majorBidi"/>
          <w:sz w:val="22"/>
          <w:szCs w:val="22"/>
        </w:rPr>
        <w:t>)</w:t>
      </w:r>
    </w:p>
    <w:p w14:paraId="0691D1E6" w14:textId="6D183C44" w:rsidR="004830DF" w:rsidRPr="004830DF" w:rsidRDefault="00DD13A7"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Pr>
          <w:rFonts w:asciiTheme="minorHAnsi" w:eastAsiaTheme="majorEastAsia" w:hAnsiTheme="minorHAnsi" w:cstheme="majorBidi"/>
          <w:sz w:val="22"/>
          <w:szCs w:val="22"/>
        </w:rPr>
        <w:t>Begin purchasing (and continue through remainder of fiscal year)</w:t>
      </w:r>
      <w:r w:rsidR="004830DF" w:rsidRPr="004830DF">
        <w:rPr>
          <w:rFonts w:asciiTheme="minorHAnsi" w:eastAsiaTheme="majorEastAsia" w:hAnsiTheme="minorHAnsi" w:cstheme="majorBidi"/>
          <w:sz w:val="22"/>
          <w:szCs w:val="22"/>
        </w:rPr>
        <w:t xml:space="preserve"> access to as many requested databases and journals</w:t>
      </w:r>
      <w:r>
        <w:rPr>
          <w:rFonts w:asciiTheme="minorHAnsi" w:eastAsiaTheme="majorEastAsia" w:hAnsiTheme="minorHAnsi" w:cstheme="majorBidi"/>
          <w:sz w:val="22"/>
          <w:szCs w:val="22"/>
        </w:rPr>
        <w:t xml:space="preserve"> as possible</w:t>
      </w:r>
      <w:r w:rsidR="004830DF" w:rsidRPr="004830DF">
        <w:rPr>
          <w:rFonts w:asciiTheme="minorHAnsi" w:eastAsiaTheme="majorEastAsia" w:hAnsiTheme="minorHAnsi" w:cstheme="majorBidi"/>
          <w:sz w:val="22"/>
          <w:szCs w:val="22"/>
        </w:rPr>
        <w:t>. (</w:t>
      </w:r>
      <w:r w:rsidR="004830DF">
        <w:rPr>
          <w:rFonts w:asciiTheme="minorHAnsi" w:hAnsiTheme="minorHAnsi"/>
          <w:sz w:val="22"/>
          <w:szCs w:val="22"/>
        </w:rPr>
        <w:t xml:space="preserve">Action Step </w:t>
      </w:r>
      <w:r w:rsidR="004830DF">
        <w:rPr>
          <w:rFonts w:asciiTheme="minorHAnsi" w:eastAsiaTheme="majorEastAsia" w:hAnsiTheme="minorHAnsi" w:cstheme="majorBidi"/>
          <w:sz w:val="22"/>
          <w:szCs w:val="22"/>
        </w:rPr>
        <w:t>#2, Task #2</w:t>
      </w:r>
      <w:r w:rsidR="004830DF" w:rsidRPr="004830DF">
        <w:rPr>
          <w:rFonts w:asciiTheme="minorHAnsi" w:eastAsiaTheme="majorEastAsia" w:hAnsiTheme="minorHAnsi" w:cstheme="majorBidi"/>
          <w:sz w:val="22"/>
          <w:szCs w:val="22"/>
        </w:rPr>
        <w:t>)</w:t>
      </w:r>
    </w:p>
    <w:p w14:paraId="232E060D" w14:textId="2A72312F" w:rsidR="004830DF" w:rsidRPr="004830DF" w:rsidRDefault="00DD13A7"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Pr>
          <w:rFonts w:asciiTheme="minorHAnsi" w:eastAsiaTheme="majorEastAsia" w:hAnsiTheme="minorHAnsi" w:cstheme="majorBidi"/>
          <w:sz w:val="22"/>
          <w:szCs w:val="22"/>
        </w:rPr>
        <w:t>Beginning in fall (and continuing through academic year)</w:t>
      </w:r>
      <w:r w:rsidR="004830DF" w:rsidRPr="004830DF">
        <w:rPr>
          <w:rFonts w:asciiTheme="minorHAnsi" w:eastAsiaTheme="majorEastAsia" w:hAnsiTheme="minorHAnsi" w:cstheme="majorBidi"/>
          <w:sz w:val="22"/>
          <w:szCs w:val="22"/>
        </w:rPr>
        <w:t>, a team of faculty will develop standards for RI courses and a procedure for faculty and departments to apply for RI course designation. (</w:t>
      </w:r>
      <w:r w:rsidR="004830DF">
        <w:rPr>
          <w:rFonts w:asciiTheme="minorHAnsi" w:hAnsiTheme="minorHAnsi"/>
          <w:sz w:val="22"/>
          <w:szCs w:val="22"/>
        </w:rPr>
        <w:t xml:space="preserve">Action Step </w:t>
      </w:r>
      <w:r w:rsidR="004830DF">
        <w:rPr>
          <w:rFonts w:asciiTheme="minorHAnsi" w:eastAsiaTheme="majorEastAsia" w:hAnsiTheme="minorHAnsi" w:cstheme="majorBidi"/>
          <w:sz w:val="22"/>
          <w:szCs w:val="22"/>
        </w:rPr>
        <w:t>#3, Task #</w:t>
      </w:r>
      <w:r>
        <w:rPr>
          <w:rFonts w:asciiTheme="minorHAnsi" w:eastAsiaTheme="majorEastAsia" w:hAnsiTheme="minorHAnsi" w:cstheme="majorBidi"/>
          <w:sz w:val="22"/>
          <w:szCs w:val="22"/>
        </w:rPr>
        <w:t>6</w:t>
      </w:r>
      <w:r w:rsidR="004830DF" w:rsidRPr="004830DF">
        <w:rPr>
          <w:rFonts w:asciiTheme="minorHAnsi" w:eastAsiaTheme="majorEastAsia" w:hAnsiTheme="minorHAnsi" w:cstheme="majorBidi"/>
          <w:sz w:val="22"/>
          <w:szCs w:val="22"/>
        </w:rPr>
        <w:t>)</w:t>
      </w:r>
    </w:p>
    <w:p w14:paraId="37AADB9E" w14:textId="19F106F6" w:rsidR="004830DF" w:rsidRPr="004830DF" w:rsidRDefault="004830DF" w:rsidP="004830DF">
      <w:pPr>
        <w:pStyle w:val="NormalWeb"/>
        <w:numPr>
          <w:ilvl w:val="0"/>
          <w:numId w:val="11"/>
        </w:numPr>
        <w:spacing w:before="0" w:beforeAutospacing="0" w:after="0" w:afterAutospacing="0"/>
        <w:rPr>
          <w:rFonts w:asciiTheme="minorHAnsi" w:eastAsiaTheme="majorEastAsia" w:hAnsiTheme="minorHAnsi" w:cstheme="majorBidi"/>
          <w:sz w:val="22"/>
          <w:szCs w:val="22"/>
        </w:rPr>
      </w:pPr>
      <w:r w:rsidRPr="004830DF">
        <w:rPr>
          <w:rFonts w:asciiTheme="minorHAnsi" w:eastAsiaTheme="majorEastAsia" w:hAnsiTheme="minorHAnsi" w:cstheme="majorBidi"/>
          <w:sz w:val="22"/>
          <w:szCs w:val="22"/>
        </w:rPr>
        <w:t>Increase funding dedicated to acquiring/accessing new</w:t>
      </w:r>
      <w:r w:rsidR="00DD13A7">
        <w:rPr>
          <w:rFonts w:asciiTheme="minorHAnsi" w:eastAsiaTheme="majorEastAsia" w:hAnsiTheme="minorHAnsi" w:cstheme="majorBidi"/>
          <w:sz w:val="22"/>
          <w:szCs w:val="22"/>
        </w:rPr>
        <w:t xml:space="preserve"> library</w:t>
      </w:r>
      <w:r w:rsidRPr="004830DF">
        <w:rPr>
          <w:rFonts w:asciiTheme="minorHAnsi" w:eastAsiaTheme="majorEastAsia" w:hAnsiTheme="minorHAnsi" w:cstheme="majorBidi"/>
          <w:sz w:val="22"/>
          <w:szCs w:val="22"/>
        </w:rPr>
        <w:t xml:space="preserve"> resources that support faculty/student researchers in the FY18 library budget. (</w:t>
      </w:r>
      <w:r>
        <w:rPr>
          <w:rFonts w:asciiTheme="minorHAnsi" w:hAnsiTheme="minorHAnsi"/>
          <w:sz w:val="22"/>
          <w:szCs w:val="22"/>
        </w:rPr>
        <w:t xml:space="preserve">Action Step </w:t>
      </w:r>
      <w:r>
        <w:rPr>
          <w:rFonts w:asciiTheme="minorHAnsi" w:eastAsiaTheme="majorEastAsia" w:hAnsiTheme="minorHAnsi" w:cstheme="majorBidi"/>
          <w:sz w:val="22"/>
          <w:szCs w:val="22"/>
        </w:rPr>
        <w:t>#3, Task #</w:t>
      </w:r>
      <w:r w:rsidR="00DD13A7">
        <w:rPr>
          <w:rFonts w:asciiTheme="minorHAnsi" w:eastAsiaTheme="majorEastAsia" w:hAnsiTheme="minorHAnsi" w:cstheme="majorBidi"/>
          <w:sz w:val="22"/>
          <w:szCs w:val="22"/>
        </w:rPr>
        <w:t>7</w:t>
      </w:r>
      <w:r w:rsidRPr="004830DF">
        <w:rPr>
          <w:rFonts w:asciiTheme="minorHAnsi" w:eastAsiaTheme="majorEastAsia" w:hAnsiTheme="minorHAnsi" w:cstheme="majorBidi"/>
          <w:sz w:val="22"/>
          <w:szCs w:val="22"/>
        </w:rPr>
        <w:t>)</w:t>
      </w:r>
    </w:p>
    <w:p w14:paraId="30B80D66" w14:textId="77777777" w:rsidR="004830DF" w:rsidRPr="004830DF" w:rsidRDefault="004830DF" w:rsidP="004830DF">
      <w:pPr>
        <w:pStyle w:val="NormalWeb"/>
        <w:spacing w:before="0" w:beforeAutospacing="0" w:after="0" w:afterAutospacing="0"/>
        <w:rPr>
          <w:rFonts w:asciiTheme="minorHAnsi" w:hAnsiTheme="minorHAnsi"/>
          <w:sz w:val="22"/>
          <w:szCs w:val="22"/>
        </w:rPr>
      </w:pPr>
    </w:p>
    <w:p w14:paraId="1FE6C318" w14:textId="77777777" w:rsidR="004830DF" w:rsidRPr="004830DF" w:rsidRDefault="004830DF" w:rsidP="004830DF">
      <w:pPr>
        <w:pStyle w:val="NormalWeb"/>
        <w:spacing w:before="0" w:beforeAutospacing="0" w:after="0" w:afterAutospacing="0"/>
        <w:rPr>
          <w:rFonts w:asciiTheme="minorHAnsi" w:hAnsiTheme="minorHAnsi"/>
          <w:b/>
          <w:sz w:val="22"/>
          <w:szCs w:val="22"/>
        </w:rPr>
      </w:pPr>
      <w:r w:rsidRPr="004830DF">
        <w:rPr>
          <w:rFonts w:asciiTheme="minorHAnsi" w:hAnsiTheme="minorHAnsi"/>
          <w:b/>
          <w:sz w:val="22"/>
          <w:szCs w:val="22"/>
        </w:rPr>
        <w:t>Spring 2018</w:t>
      </w:r>
    </w:p>
    <w:p w14:paraId="72D73CAB" w14:textId="63BB2872" w:rsidR="004830DF" w:rsidRPr="004830DF" w:rsidRDefault="00DD13A7" w:rsidP="004830DF">
      <w:pPr>
        <w:pStyle w:val="NormalWeb"/>
        <w:numPr>
          <w:ilvl w:val="0"/>
          <w:numId w:val="12"/>
        </w:numPr>
        <w:spacing w:before="0" w:beforeAutospacing="0" w:after="0" w:afterAutospacing="0"/>
        <w:rPr>
          <w:rFonts w:asciiTheme="minorHAnsi" w:hAnsiTheme="minorHAnsi"/>
          <w:sz w:val="22"/>
          <w:szCs w:val="22"/>
        </w:rPr>
      </w:pPr>
      <w:r>
        <w:rPr>
          <w:rFonts w:asciiTheme="minorHAnsi" w:hAnsiTheme="minorHAnsi"/>
          <w:sz w:val="22"/>
          <w:szCs w:val="22"/>
        </w:rPr>
        <w:t>R</w:t>
      </w:r>
      <w:r w:rsidR="004830DF" w:rsidRPr="004830DF">
        <w:rPr>
          <w:rFonts w:asciiTheme="minorHAnsi" w:hAnsiTheme="minorHAnsi"/>
          <w:sz w:val="22"/>
          <w:szCs w:val="22"/>
        </w:rPr>
        <w:t xml:space="preserve">eview </w:t>
      </w:r>
      <w:proofErr w:type="spellStart"/>
      <w:r w:rsidR="004830DF" w:rsidRPr="004830DF">
        <w:rPr>
          <w:rFonts w:asciiTheme="minorHAnsi" w:hAnsiTheme="minorHAnsi"/>
          <w:sz w:val="22"/>
          <w:szCs w:val="22"/>
        </w:rPr>
        <w:t>SoTL</w:t>
      </w:r>
      <w:proofErr w:type="spellEnd"/>
      <w:r w:rsidR="004830DF" w:rsidRPr="004830DF">
        <w:rPr>
          <w:rFonts w:asciiTheme="minorHAnsi" w:hAnsiTheme="minorHAnsi"/>
          <w:sz w:val="22"/>
          <w:szCs w:val="22"/>
        </w:rPr>
        <w:t xml:space="preserve"> consultant’s contributions and appoint one or more additional consultants. (</w:t>
      </w:r>
      <w:r w:rsidR="004830DF">
        <w:rPr>
          <w:rFonts w:asciiTheme="minorHAnsi" w:hAnsiTheme="minorHAnsi"/>
          <w:sz w:val="22"/>
          <w:szCs w:val="22"/>
        </w:rPr>
        <w:t>Action Step #1, Task #2</w:t>
      </w:r>
      <w:r w:rsidR="004830DF" w:rsidRPr="004830DF">
        <w:rPr>
          <w:rFonts w:asciiTheme="minorHAnsi" w:hAnsiTheme="minorHAnsi"/>
          <w:sz w:val="22"/>
          <w:szCs w:val="22"/>
        </w:rPr>
        <w:t>)</w:t>
      </w:r>
    </w:p>
    <w:p w14:paraId="463F5ADD" w14:textId="2452B564" w:rsidR="004830DF" w:rsidRPr="004830DF" w:rsidRDefault="00DD13A7" w:rsidP="004830DF">
      <w:pPr>
        <w:pStyle w:val="NormalWeb"/>
        <w:numPr>
          <w:ilvl w:val="0"/>
          <w:numId w:val="12"/>
        </w:numPr>
        <w:spacing w:before="0" w:beforeAutospacing="0" w:after="0" w:afterAutospacing="0"/>
        <w:rPr>
          <w:rFonts w:asciiTheme="minorHAnsi" w:hAnsiTheme="minorHAnsi"/>
          <w:sz w:val="22"/>
          <w:szCs w:val="22"/>
        </w:rPr>
      </w:pPr>
      <w:r>
        <w:rPr>
          <w:rFonts w:asciiTheme="minorHAnsi" w:hAnsiTheme="minorHAnsi"/>
          <w:sz w:val="22"/>
          <w:szCs w:val="22"/>
        </w:rPr>
        <w:t>Selection of and beginning of work by f</w:t>
      </w:r>
      <w:r w:rsidRPr="004830DF">
        <w:rPr>
          <w:rFonts w:asciiTheme="minorHAnsi" w:hAnsiTheme="minorHAnsi"/>
          <w:sz w:val="22"/>
          <w:szCs w:val="22"/>
        </w:rPr>
        <w:t xml:space="preserve">aculty </w:t>
      </w:r>
      <w:r w:rsidR="004830DF" w:rsidRPr="004830DF">
        <w:rPr>
          <w:rFonts w:asciiTheme="minorHAnsi" w:hAnsiTheme="minorHAnsi"/>
          <w:sz w:val="22"/>
          <w:szCs w:val="22"/>
        </w:rPr>
        <w:t xml:space="preserve">member with at least .5 FTE release to </w:t>
      </w:r>
      <w:proofErr w:type="spellStart"/>
      <w:r>
        <w:rPr>
          <w:rFonts w:asciiTheme="minorHAnsi" w:hAnsiTheme="minorHAnsi"/>
          <w:sz w:val="22"/>
          <w:szCs w:val="22"/>
        </w:rPr>
        <w:t>to</w:t>
      </w:r>
      <w:proofErr w:type="spellEnd"/>
      <w:r>
        <w:rPr>
          <w:rFonts w:asciiTheme="minorHAnsi" w:hAnsiTheme="minorHAnsi"/>
          <w:sz w:val="22"/>
          <w:szCs w:val="22"/>
        </w:rPr>
        <w:t xml:space="preserve"> advocate for support of</w:t>
      </w:r>
      <w:r w:rsidR="004830DF" w:rsidRPr="004830DF">
        <w:rPr>
          <w:rFonts w:asciiTheme="minorHAnsi" w:hAnsiTheme="minorHAnsi"/>
          <w:sz w:val="22"/>
          <w:szCs w:val="22"/>
        </w:rPr>
        <w:t xml:space="preserve"> undergraduate research</w:t>
      </w:r>
      <w:r>
        <w:rPr>
          <w:rFonts w:asciiTheme="minorHAnsi" w:hAnsiTheme="minorHAnsi"/>
          <w:sz w:val="22"/>
          <w:szCs w:val="22"/>
        </w:rPr>
        <w:t xml:space="preserve"> efforts on campus.</w:t>
      </w:r>
      <w:r w:rsidR="004830DF" w:rsidRPr="004830DF">
        <w:rPr>
          <w:rFonts w:asciiTheme="minorHAnsi" w:hAnsiTheme="minorHAnsi"/>
          <w:sz w:val="22"/>
          <w:szCs w:val="22"/>
        </w:rPr>
        <w:t xml:space="preserve"> (</w:t>
      </w:r>
      <w:r w:rsidR="004830DF">
        <w:rPr>
          <w:rFonts w:asciiTheme="minorHAnsi" w:hAnsiTheme="minorHAnsi"/>
          <w:sz w:val="22"/>
          <w:szCs w:val="22"/>
        </w:rPr>
        <w:t>Action Step #3, Task #1</w:t>
      </w:r>
      <w:r w:rsidR="004830DF" w:rsidRPr="004830DF">
        <w:rPr>
          <w:rFonts w:asciiTheme="minorHAnsi" w:hAnsiTheme="minorHAnsi"/>
          <w:sz w:val="22"/>
          <w:szCs w:val="22"/>
        </w:rPr>
        <w:t>)</w:t>
      </w:r>
    </w:p>
    <w:p w14:paraId="078DBC1C" w14:textId="35E4AD6E" w:rsidR="004830DF" w:rsidRDefault="00314666" w:rsidP="004830DF">
      <w:pPr>
        <w:pStyle w:val="NormalWeb"/>
        <w:numPr>
          <w:ilvl w:val="0"/>
          <w:numId w:val="12"/>
        </w:numPr>
        <w:spacing w:before="0" w:beforeAutospacing="0" w:after="0" w:afterAutospacing="0"/>
        <w:rPr>
          <w:rFonts w:asciiTheme="minorHAnsi" w:hAnsiTheme="minorHAnsi"/>
          <w:sz w:val="22"/>
          <w:szCs w:val="22"/>
        </w:rPr>
      </w:pPr>
      <w:r>
        <w:rPr>
          <w:rFonts w:asciiTheme="minorHAnsi" w:hAnsiTheme="minorHAnsi"/>
          <w:sz w:val="22"/>
          <w:szCs w:val="22"/>
        </w:rPr>
        <w:t>Create curriculum for</w:t>
      </w:r>
      <w:r w:rsidRPr="004830DF">
        <w:rPr>
          <w:rFonts w:asciiTheme="minorHAnsi" w:hAnsiTheme="minorHAnsi"/>
          <w:sz w:val="22"/>
          <w:szCs w:val="22"/>
        </w:rPr>
        <w:t xml:space="preserve"> </w:t>
      </w:r>
      <w:r w:rsidR="00DD13A7">
        <w:rPr>
          <w:rFonts w:asciiTheme="minorHAnsi" w:hAnsiTheme="minorHAnsi"/>
          <w:sz w:val="22"/>
          <w:szCs w:val="22"/>
        </w:rPr>
        <w:t>professional develop</w:t>
      </w:r>
      <w:r>
        <w:rPr>
          <w:rFonts w:asciiTheme="minorHAnsi" w:hAnsiTheme="minorHAnsi"/>
          <w:sz w:val="22"/>
          <w:szCs w:val="22"/>
        </w:rPr>
        <w:t>ment</w:t>
      </w:r>
      <w:r w:rsidR="00DD13A7">
        <w:rPr>
          <w:rFonts w:asciiTheme="minorHAnsi" w:hAnsiTheme="minorHAnsi"/>
          <w:sz w:val="22"/>
          <w:szCs w:val="22"/>
        </w:rPr>
        <w:t xml:space="preserve"> series to provide faculty and graduate students with information about best practices in mentoring and how to engage in mentored undergraduate research</w:t>
      </w:r>
      <w:r w:rsidR="004830DF" w:rsidRPr="004830DF">
        <w:rPr>
          <w:rFonts w:asciiTheme="minorHAnsi" w:hAnsiTheme="minorHAnsi"/>
          <w:sz w:val="22"/>
          <w:szCs w:val="22"/>
        </w:rPr>
        <w:t>. (</w:t>
      </w:r>
      <w:r w:rsidR="004830DF">
        <w:rPr>
          <w:rFonts w:asciiTheme="minorHAnsi" w:hAnsiTheme="minorHAnsi"/>
          <w:sz w:val="22"/>
          <w:szCs w:val="22"/>
        </w:rPr>
        <w:t>Action Step #3, Task #3</w:t>
      </w:r>
      <w:r w:rsidR="004830DF" w:rsidRPr="004830DF">
        <w:rPr>
          <w:rFonts w:asciiTheme="minorHAnsi" w:hAnsiTheme="minorHAnsi"/>
          <w:sz w:val="22"/>
          <w:szCs w:val="22"/>
        </w:rPr>
        <w:t>)</w:t>
      </w:r>
    </w:p>
    <w:p w14:paraId="44C608CE" w14:textId="5D6FD1DD" w:rsidR="00C52C3E" w:rsidRPr="004830DF" w:rsidRDefault="00C52C3E" w:rsidP="00C52C3E">
      <w:pPr>
        <w:pStyle w:val="NormalWeb"/>
        <w:numPr>
          <w:ilvl w:val="0"/>
          <w:numId w:val="12"/>
        </w:numPr>
        <w:spacing w:before="0" w:beforeAutospacing="0" w:after="0" w:afterAutospacing="0"/>
        <w:rPr>
          <w:rFonts w:asciiTheme="minorHAnsi" w:hAnsiTheme="minorHAnsi"/>
          <w:sz w:val="22"/>
          <w:szCs w:val="22"/>
        </w:rPr>
      </w:pPr>
      <w:r>
        <w:rPr>
          <w:rFonts w:asciiTheme="minorHAnsi" w:hAnsiTheme="minorHAnsi"/>
          <w:sz w:val="22"/>
          <w:szCs w:val="22"/>
        </w:rPr>
        <w:t>In development of FY19 budget</w:t>
      </w:r>
      <w:r w:rsidRPr="004830DF">
        <w:rPr>
          <w:rFonts w:asciiTheme="minorHAnsi" w:hAnsiTheme="minorHAnsi"/>
          <w:sz w:val="22"/>
          <w:szCs w:val="22"/>
        </w:rPr>
        <w:t xml:space="preserve">, </w:t>
      </w:r>
      <w:r>
        <w:rPr>
          <w:rFonts w:asciiTheme="minorHAnsi" w:hAnsiTheme="minorHAnsi"/>
          <w:sz w:val="22"/>
          <w:szCs w:val="22"/>
        </w:rPr>
        <w:t xml:space="preserve">secure </w:t>
      </w:r>
      <w:r w:rsidRPr="004830DF">
        <w:rPr>
          <w:rFonts w:asciiTheme="minorHAnsi" w:hAnsiTheme="minorHAnsi"/>
          <w:sz w:val="22"/>
          <w:szCs w:val="22"/>
        </w:rPr>
        <w:t xml:space="preserve">$250,000 allocation to provide appropriate funding resources to support mentored </w:t>
      </w:r>
      <w:r>
        <w:rPr>
          <w:rFonts w:asciiTheme="minorHAnsi" w:hAnsiTheme="minorHAnsi"/>
          <w:sz w:val="22"/>
          <w:szCs w:val="22"/>
        </w:rPr>
        <w:t>undergraduate</w:t>
      </w:r>
      <w:r w:rsidRPr="004830DF">
        <w:rPr>
          <w:rFonts w:asciiTheme="minorHAnsi" w:hAnsiTheme="minorHAnsi"/>
          <w:sz w:val="22"/>
          <w:szCs w:val="22"/>
        </w:rPr>
        <w:t xml:space="preserve"> research and creative activities. (</w:t>
      </w:r>
      <w:r>
        <w:rPr>
          <w:rFonts w:asciiTheme="minorHAnsi" w:hAnsiTheme="minorHAnsi"/>
          <w:sz w:val="22"/>
          <w:szCs w:val="22"/>
        </w:rPr>
        <w:t>Action Step #3, Task #5</w:t>
      </w:r>
      <w:r w:rsidRPr="004830DF">
        <w:rPr>
          <w:rFonts w:asciiTheme="minorHAnsi" w:hAnsiTheme="minorHAnsi"/>
          <w:sz w:val="22"/>
          <w:szCs w:val="22"/>
        </w:rPr>
        <w:t>)</w:t>
      </w:r>
    </w:p>
    <w:p w14:paraId="60697D95" w14:textId="25D2F443" w:rsidR="00C52C3E" w:rsidRPr="004830DF" w:rsidRDefault="00C52C3E" w:rsidP="00C52C3E">
      <w:pPr>
        <w:pStyle w:val="NormalWeb"/>
        <w:spacing w:before="0" w:beforeAutospacing="0" w:after="0" w:afterAutospacing="0"/>
        <w:ind w:left="720"/>
        <w:rPr>
          <w:rFonts w:asciiTheme="minorHAnsi" w:hAnsiTheme="minorHAnsi"/>
          <w:sz w:val="22"/>
          <w:szCs w:val="22"/>
        </w:rPr>
      </w:pPr>
    </w:p>
    <w:p w14:paraId="63764042" w14:textId="77777777" w:rsidR="004830DF" w:rsidRPr="004830DF" w:rsidRDefault="004830DF" w:rsidP="004830DF">
      <w:pPr>
        <w:pStyle w:val="NormalWeb"/>
        <w:spacing w:before="0" w:beforeAutospacing="0" w:after="0" w:afterAutospacing="0"/>
        <w:rPr>
          <w:rFonts w:asciiTheme="minorHAnsi" w:hAnsiTheme="minorHAnsi"/>
          <w:sz w:val="22"/>
          <w:szCs w:val="22"/>
        </w:rPr>
      </w:pPr>
    </w:p>
    <w:p w14:paraId="4A8C05C2" w14:textId="77777777" w:rsidR="004830DF" w:rsidRPr="004830DF" w:rsidRDefault="004830DF" w:rsidP="004830DF">
      <w:pPr>
        <w:pStyle w:val="NormalWeb"/>
        <w:spacing w:before="0" w:beforeAutospacing="0" w:after="0" w:afterAutospacing="0"/>
        <w:rPr>
          <w:rFonts w:asciiTheme="minorHAnsi" w:hAnsiTheme="minorHAnsi"/>
          <w:b/>
          <w:sz w:val="22"/>
          <w:szCs w:val="22"/>
        </w:rPr>
      </w:pPr>
      <w:r w:rsidRPr="004830DF">
        <w:rPr>
          <w:rFonts w:asciiTheme="minorHAnsi" w:hAnsiTheme="minorHAnsi"/>
          <w:b/>
          <w:sz w:val="22"/>
          <w:szCs w:val="22"/>
        </w:rPr>
        <w:t>Fall 2018</w:t>
      </w:r>
    </w:p>
    <w:p w14:paraId="78C5BEE3" w14:textId="5202A0E9" w:rsidR="004830DF" w:rsidRPr="004830DF" w:rsidRDefault="00314666" w:rsidP="004830DF">
      <w:pPr>
        <w:pStyle w:val="NormalWeb"/>
        <w:numPr>
          <w:ilvl w:val="0"/>
          <w:numId w:val="13"/>
        </w:numPr>
        <w:spacing w:before="0" w:beforeAutospacing="0" w:after="0" w:afterAutospacing="0"/>
        <w:rPr>
          <w:rFonts w:asciiTheme="minorHAnsi" w:hAnsiTheme="minorHAnsi"/>
          <w:sz w:val="22"/>
          <w:szCs w:val="22"/>
        </w:rPr>
      </w:pPr>
      <w:r>
        <w:rPr>
          <w:rFonts w:asciiTheme="minorHAnsi" w:hAnsiTheme="minorHAnsi"/>
          <w:sz w:val="22"/>
          <w:szCs w:val="22"/>
        </w:rPr>
        <w:t>Advisory council established and begins meeting</w:t>
      </w:r>
      <w:r w:rsidRPr="004830DF">
        <w:rPr>
          <w:rFonts w:asciiTheme="minorHAnsi" w:hAnsiTheme="minorHAnsi"/>
          <w:sz w:val="22"/>
          <w:szCs w:val="22"/>
        </w:rPr>
        <w:t xml:space="preserve"> </w:t>
      </w:r>
      <w:r w:rsidR="004830DF" w:rsidRPr="004830DF">
        <w:rPr>
          <w:rFonts w:asciiTheme="minorHAnsi" w:hAnsiTheme="minorHAnsi"/>
          <w:sz w:val="22"/>
          <w:szCs w:val="22"/>
        </w:rPr>
        <w:t>to integrate the efforts across campus for student research will be established and begins meeting. (</w:t>
      </w:r>
      <w:r w:rsidR="004830DF">
        <w:rPr>
          <w:rFonts w:asciiTheme="minorHAnsi" w:hAnsiTheme="minorHAnsi"/>
          <w:sz w:val="22"/>
          <w:szCs w:val="22"/>
        </w:rPr>
        <w:t>Action Step #3, Task #2</w:t>
      </w:r>
      <w:r w:rsidR="004830DF" w:rsidRPr="004830DF">
        <w:rPr>
          <w:rFonts w:asciiTheme="minorHAnsi" w:hAnsiTheme="minorHAnsi"/>
          <w:sz w:val="22"/>
          <w:szCs w:val="22"/>
        </w:rPr>
        <w:t>)</w:t>
      </w:r>
    </w:p>
    <w:p w14:paraId="5538FB61" w14:textId="4A9B2E5C" w:rsidR="004830DF" w:rsidRPr="004830DF" w:rsidRDefault="004830DF" w:rsidP="004830DF">
      <w:pPr>
        <w:pStyle w:val="NormalWeb"/>
        <w:numPr>
          <w:ilvl w:val="0"/>
          <w:numId w:val="13"/>
        </w:numPr>
        <w:spacing w:before="0" w:beforeAutospacing="0" w:after="0" w:afterAutospacing="0"/>
        <w:rPr>
          <w:rFonts w:asciiTheme="minorHAnsi" w:hAnsiTheme="minorHAnsi"/>
          <w:sz w:val="22"/>
          <w:szCs w:val="22"/>
        </w:rPr>
      </w:pPr>
      <w:r w:rsidRPr="004830DF">
        <w:rPr>
          <w:rFonts w:asciiTheme="minorHAnsi" w:hAnsiTheme="minorHAnsi"/>
          <w:sz w:val="22"/>
          <w:szCs w:val="22"/>
        </w:rPr>
        <w:t xml:space="preserve">Deliver </w:t>
      </w:r>
      <w:r w:rsidR="00314666">
        <w:rPr>
          <w:rFonts w:asciiTheme="minorHAnsi" w:hAnsiTheme="minorHAnsi"/>
          <w:sz w:val="22"/>
          <w:szCs w:val="22"/>
        </w:rPr>
        <w:t xml:space="preserve">mentored undergraduate research </w:t>
      </w:r>
      <w:r w:rsidRPr="004830DF">
        <w:rPr>
          <w:rFonts w:asciiTheme="minorHAnsi" w:hAnsiTheme="minorHAnsi"/>
          <w:sz w:val="22"/>
          <w:szCs w:val="22"/>
        </w:rPr>
        <w:t>professional development series. (</w:t>
      </w:r>
      <w:r>
        <w:rPr>
          <w:rFonts w:asciiTheme="minorHAnsi" w:hAnsiTheme="minorHAnsi"/>
          <w:sz w:val="22"/>
          <w:szCs w:val="22"/>
        </w:rPr>
        <w:t>Action Step #3, Task #3</w:t>
      </w:r>
      <w:r w:rsidRPr="004830DF">
        <w:rPr>
          <w:rFonts w:asciiTheme="minorHAnsi" w:hAnsiTheme="minorHAnsi"/>
          <w:sz w:val="22"/>
          <w:szCs w:val="22"/>
        </w:rPr>
        <w:t>)</w:t>
      </w:r>
    </w:p>
    <w:p w14:paraId="48F9AA50" w14:textId="11BA6ED1" w:rsidR="004830DF" w:rsidRPr="004830DF" w:rsidRDefault="00C52C3E" w:rsidP="004830DF">
      <w:pPr>
        <w:pStyle w:val="NormalWeb"/>
        <w:numPr>
          <w:ilvl w:val="0"/>
          <w:numId w:val="13"/>
        </w:numPr>
        <w:spacing w:before="0" w:beforeAutospacing="0" w:after="0" w:afterAutospacing="0"/>
        <w:rPr>
          <w:rFonts w:asciiTheme="minorHAnsi" w:hAnsiTheme="minorHAnsi"/>
          <w:sz w:val="22"/>
          <w:szCs w:val="22"/>
        </w:rPr>
      </w:pPr>
      <w:r>
        <w:rPr>
          <w:rFonts w:asciiTheme="minorHAnsi" w:hAnsiTheme="minorHAnsi"/>
          <w:sz w:val="22"/>
          <w:szCs w:val="22"/>
        </w:rPr>
        <w:t>Beginning in Fall 2018 (and continuing through academic year), f</w:t>
      </w:r>
      <w:r w:rsidR="004830DF" w:rsidRPr="004830DF">
        <w:rPr>
          <w:rFonts w:asciiTheme="minorHAnsi" w:hAnsiTheme="minorHAnsi"/>
          <w:sz w:val="22"/>
          <w:szCs w:val="22"/>
        </w:rPr>
        <w:t>aculty and departments apply for RI designation for courses, to be reviewed by the Advisory Council (</w:t>
      </w:r>
      <w:r w:rsidR="004830DF">
        <w:rPr>
          <w:rFonts w:asciiTheme="minorHAnsi" w:hAnsiTheme="minorHAnsi"/>
          <w:sz w:val="22"/>
          <w:szCs w:val="22"/>
        </w:rPr>
        <w:t>Action Step #3, Task #</w:t>
      </w:r>
      <w:r>
        <w:rPr>
          <w:rFonts w:asciiTheme="minorHAnsi" w:hAnsiTheme="minorHAnsi"/>
          <w:sz w:val="22"/>
          <w:szCs w:val="22"/>
        </w:rPr>
        <w:t>6</w:t>
      </w:r>
      <w:r w:rsidR="004830DF" w:rsidRPr="004830DF">
        <w:rPr>
          <w:rFonts w:asciiTheme="minorHAnsi" w:hAnsiTheme="minorHAnsi"/>
          <w:sz w:val="22"/>
          <w:szCs w:val="22"/>
        </w:rPr>
        <w:t>)</w:t>
      </w:r>
    </w:p>
    <w:p w14:paraId="2D078978" w14:textId="77777777" w:rsidR="004830DF" w:rsidRPr="004830DF" w:rsidRDefault="004830DF" w:rsidP="004830DF">
      <w:pPr>
        <w:pStyle w:val="NormalWeb"/>
        <w:spacing w:before="0" w:beforeAutospacing="0" w:after="0" w:afterAutospacing="0"/>
        <w:rPr>
          <w:rFonts w:asciiTheme="minorHAnsi" w:hAnsiTheme="minorHAnsi"/>
          <w:sz w:val="22"/>
          <w:szCs w:val="22"/>
        </w:rPr>
      </w:pPr>
    </w:p>
    <w:p w14:paraId="1531823C" w14:textId="77777777" w:rsidR="004830DF" w:rsidRPr="004830DF" w:rsidRDefault="004830DF" w:rsidP="004830DF">
      <w:pPr>
        <w:pStyle w:val="NormalWeb"/>
        <w:spacing w:before="0" w:beforeAutospacing="0" w:after="0" w:afterAutospacing="0"/>
        <w:rPr>
          <w:rFonts w:asciiTheme="minorHAnsi" w:hAnsiTheme="minorHAnsi"/>
          <w:b/>
          <w:sz w:val="22"/>
          <w:szCs w:val="22"/>
        </w:rPr>
      </w:pPr>
      <w:r w:rsidRPr="004830DF">
        <w:rPr>
          <w:rFonts w:asciiTheme="minorHAnsi" w:hAnsiTheme="minorHAnsi"/>
          <w:b/>
          <w:sz w:val="22"/>
          <w:szCs w:val="22"/>
        </w:rPr>
        <w:lastRenderedPageBreak/>
        <w:t>Fall 2019</w:t>
      </w:r>
    </w:p>
    <w:p w14:paraId="275DEFC5" w14:textId="5EF8620A" w:rsidR="004830DF" w:rsidRPr="004830DF" w:rsidRDefault="004830DF" w:rsidP="004830DF">
      <w:pPr>
        <w:pStyle w:val="NormalWeb"/>
        <w:numPr>
          <w:ilvl w:val="0"/>
          <w:numId w:val="14"/>
        </w:numPr>
        <w:spacing w:before="0" w:beforeAutospacing="0" w:after="0" w:afterAutospacing="0"/>
        <w:rPr>
          <w:rFonts w:asciiTheme="minorHAnsi" w:hAnsiTheme="minorHAnsi"/>
          <w:sz w:val="22"/>
          <w:szCs w:val="22"/>
        </w:rPr>
      </w:pPr>
      <w:r w:rsidRPr="004830DF">
        <w:rPr>
          <w:rFonts w:asciiTheme="minorHAnsi" w:hAnsiTheme="minorHAnsi"/>
          <w:sz w:val="22"/>
          <w:szCs w:val="22"/>
        </w:rPr>
        <w:t>Recognition</w:t>
      </w:r>
      <w:r w:rsidR="00C52C3E">
        <w:rPr>
          <w:rFonts w:asciiTheme="minorHAnsi" w:hAnsiTheme="minorHAnsi"/>
          <w:sz w:val="22"/>
          <w:szCs w:val="22"/>
        </w:rPr>
        <w:t xml:space="preserve"> for faculty taking part in mentored undergraduate research</w:t>
      </w:r>
      <w:r w:rsidRPr="004830DF">
        <w:rPr>
          <w:rFonts w:asciiTheme="minorHAnsi" w:hAnsiTheme="minorHAnsi"/>
          <w:sz w:val="22"/>
          <w:szCs w:val="22"/>
        </w:rPr>
        <w:t xml:space="preserve"> established and available. (</w:t>
      </w:r>
      <w:r>
        <w:rPr>
          <w:rFonts w:asciiTheme="minorHAnsi" w:hAnsiTheme="minorHAnsi"/>
          <w:sz w:val="22"/>
          <w:szCs w:val="22"/>
        </w:rPr>
        <w:t>Action Step #3, Task #</w:t>
      </w:r>
      <w:r w:rsidR="00C52C3E">
        <w:rPr>
          <w:rFonts w:asciiTheme="minorHAnsi" w:hAnsiTheme="minorHAnsi"/>
          <w:sz w:val="22"/>
          <w:szCs w:val="22"/>
        </w:rPr>
        <w:t>4</w:t>
      </w:r>
      <w:r w:rsidRPr="004830DF">
        <w:rPr>
          <w:rFonts w:asciiTheme="minorHAnsi" w:hAnsiTheme="minorHAnsi"/>
          <w:sz w:val="22"/>
          <w:szCs w:val="22"/>
        </w:rPr>
        <w:t>)</w:t>
      </w:r>
    </w:p>
    <w:p w14:paraId="59C42657" w14:textId="70C89FEB" w:rsidR="004830DF" w:rsidRPr="004830DF" w:rsidRDefault="004830DF" w:rsidP="004830DF">
      <w:pPr>
        <w:pStyle w:val="NormalWeb"/>
        <w:numPr>
          <w:ilvl w:val="0"/>
          <w:numId w:val="14"/>
        </w:numPr>
        <w:spacing w:before="0" w:beforeAutospacing="0" w:after="0" w:afterAutospacing="0"/>
        <w:rPr>
          <w:rFonts w:asciiTheme="minorHAnsi" w:hAnsiTheme="minorHAnsi"/>
          <w:sz w:val="22"/>
          <w:szCs w:val="22"/>
        </w:rPr>
      </w:pPr>
      <w:r w:rsidRPr="004830DF">
        <w:rPr>
          <w:rFonts w:asciiTheme="minorHAnsi" w:hAnsiTheme="minorHAnsi"/>
          <w:sz w:val="22"/>
          <w:szCs w:val="22"/>
        </w:rPr>
        <w:t>RI courses offered for the first time. Designation to appear on student transcripts. (</w:t>
      </w:r>
      <w:r w:rsidR="00D72220">
        <w:rPr>
          <w:rFonts w:asciiTheme="minorHAnsi" w:hAnsiTheme="minorHAnsi"/>
          <w:sz w:val="22"/>
          <w:szCs w:val="22"/>
        </w:rPr>
        <w:t>Action Step</w:t>
      </w:r>
      <w:r>
        <w:rPr>
          <w:rFonts w:asciiTheme="minorHAnsi" w:hAnsiTheme="minorHAnsi"/>
          <w:sz w:val="22"/>
          <w:szCs w:val="22"/>
        </w:rPr>
        <w:t xml:space="preserve"> #3, Task #</w:t>
      </w:r>
      <w:r w:rsidR="00C52C3E">
        <w:rPr>
          <w:rFonts w:asciiTheme="minorHAnsi" w:hAnsiTheme="minorHAnsi"/>
          <w:sz w:val="22"/>
          <w:szCs w:val="22"/>
        </w:rPr>
        <w:t>6</w:t>
      </w:r>
      <w:r w:rsidRPr="004830DF">
        <w:rPr>
          <w:rFonts w:asciiTheme="minorHAnsi" w:hAnsiTheme="minorHAnsi"/>
          <w:sz w:val="22"/>
          <w:szCs w:val="22"/>
        </w:rPr>
        <w:t>)</w:t>
      </w:r>
    </w:p>
    <w:p w14:paraId="3C365962" w14:textId="77777777" w:rsidR="004830DF" w:rsidRPr="004830DF" w:rsidRDefault="004830DF" w:rsidP="004830DF">
      <w:pPr>
        <w:pStyle w:val="NormalWeb"/>
        <w:spacing w:before="0" w:beforeAutospacing="0" w:after="0" w:afterAutospacing="0"/>
        <w:jc w:val="center"/>
        <w:rPr>
          <w:rFonts w:asciiTheme="minorHAnsi" w:hAnsiTheme="minorHAnsi"/>
          <w:b/>
          <w:color w:val="000000"/>
          <w:sz w:val="22"/>
          <w:szCs w:val="22"/>
        </w:rPr>
      </w:pPr>
    </w:p>
    <w:p w14:paraId="4D30C02D" w14:textId="77777777" w:rsidR="007B0EC3" w:rsidRDefault="007B0EC3">
      <w:pPr>
        <w:rPr>
          <w:rFonts w:eastAsia="Times New Roman" w:cs="Times New Roman"/>
          <w:color w:val="000000"/>
        </w:rPr>
      </w:pPr>
      <w:r>
        <w:rPr>
          <w:color w:val="000000"/>
        </w:rPr>
        <w:br w:type="page"/>
      </w:r>
    </w:p>
    <w:p w14:paraId="5DCD5360" w14:textId="3958BDE3" w:rsidR="007B0EC3" w:rsidRPr="004830DF" w:rsidRDefault="007B0EC3" w:rsidP="007B0EC3">
      <w:pPr>
        <w:pStyle w:val="NormalWeb"/>
        <w:spacing w:before="0" w:beforeAutospacing="0" w:after="0" w:afterAutospacing="0"/>
        <w:jc w:val="center"/>
        <w:rPr>
          <w:rFonts w:asciiTheme="minorHAnsi" w:hAnsiTheme="minorHAnsi"/>
          <w:b/>
          <w:sz w:val="28"/>
          <w:szCs w:val="28"/>
        </w:rPr>
      </w:pPr>
      <w:r w:rsidRPr="00077B61">
        <w:rPr>
          <w:rFonts w:asciiTheme="minorHAnsi" w:hAnsiTheme="minorHAnsi"/>
          <w:b/>
          <w:color w:val="000000"/>
          <w:sz w:val="28"/>
          <w:szCs w:val="22"/>
        </w:rPr>
        <w:lastRenderedPageBreak/>
        <w:t xml:space="preserve">Appendix </w:t>
      </w:r>
      <w:r>
        <w:rPr>
          <w:rFonts w:asciiTheme="minorHAnsi" w:hAnsiTheme="minorHAnsi"/>
          <w:b/>
          <w:color w:val="000000"/>
          <w:sz w:val="28"/>
          <w:szCs w:val="22"/>
        </w:rPr>
        <w:t xml:space="preserve">C: </w:t>
      </w:r>
      <w:r w:rsidRPr="004830DF">
        <w:rPr>
          <w:rFonts w:asciiTheme="minorHAnsi" w:hAnsiTheme="minorHAnsi"/>
          <w:b/>
          <w:sz w:val="28"/>
          <w:szCs w:val="28"/>
        </w:rPr>
        <w:t xml:space="preserve">Strategy 3 </w:t>
      </w:r>
      <w:r>
        <w:rPr>
          <w:rFonts w:asciiTheme="minorHAnsi" w:hAnsiTheme="minorHAnsi"/>
          <w:b/>
          <w:sz w:val="28"/>
          <w:szCs w:val="28"/>
        </w:rPr>
        <w:t>Responsi</w:t>
      </w:r>
      <w:bookmarkStart w:id="0" w:name="_GoBack"/>
      <w:bookmarkEnd w:id="0"/>
      <w:r>
        <w:rPr>
          <w:rFonts w:asciiTheme="minorHAnsi" w:hAnsiTheme="minorHAnsi"/>
          <w:b/>
          <w:sz w:val="28"/>
          <w:szCs w:val="28"/>
        </w:rPr>
        <w:t>bilities</w:t>
      </w:r>
      <w:r w:rsidRPr="004830DF">
        <w:rPr>
          <w:rFonts w:asciiTheme="minorHAnsi" w:hAnsiTheme="minorHAnsi"/>
          <w:b/>
          <w:sz w:val="28"/>
          <w:szCs w:val="28"/>
        </w:rPr>
        <w:t xml:space="preserve"> </w:t>
      </w:r>
    </w:p>
    <w:p w14:paraId="29047600" w14:textId="77777777" w:rsidR="007B0EC3" w:rsidRDefault="007B0EC3" w:rsidP="007B0EC3">
      <w:pPr>
        <w:spacing w:after="0" w:line="240" w:lineRule="auto"/>
        <w:rPr>
          <w:b/>
        </w:rPr>
      </w:pPr>
    </w:p>
    <w:p w14:paraId="729943C1" w14:textId="0BF50F51" w:rsidR="004830DF" w:rsidRPr="00A71E23" w:rsidRDefault="007B0EC3" w:rsidP="007B0EC3">
      <w:pPr>
        <w:pStyle w:val="NormalWeb"/>
        <w:spacing w:before="0" w:beforeAutospacing="0" w:after="0" w:afterAutospacing="0"/>
        <w:rPr>
          <w:rFonts w:asciiTheme="minorHAnsi" w:hAnsiTheme="minorHAnsi"/>
          <w:sz w:val="22"/>
          <w:szCs w:val="22"/>
        </w:rPr>
      </w:pPr>
      <w:r w:rsidRPr="00A71E23">
        <w:rPr>
          <w:rFonts w:asciiTheme="minorHAnsi" w:hAnsiTheme="minorHAnsi"/>
          <w:sz w:val="22"/>
          <w:szCs w:val="22"/>
        </w:rPr>
        <w:t>Given the volume of recommendations in Strategy #3, an implementation timeline is provided below for ease of reference.</w:t>
      </w:r>
    </w:p>
    <w:p w14:paraId="3E7790A6" w14:textId="77777777" w:rsidR="007B0EC3" w:rsidRPr="00A71E23" w:rsidRDefault="007B0EC3" w:rsidP="007B0EC3">
      <w:pPr>
        <w:pStyle w:val="NormalWeb"/>
        <w:spacing w:before="0" w:beforeAutospacing="0" w:after="0" w:afterAutospacing="0"/>
        <w:rPr>
          <w:rFonts w:asciiTheme="minorHAnsi" w:hAnsiTheme="minorHAnsi"/>
          <w:sz w:val="22"/>
          <w:szCs w:val="22"/>
        </w:rPr>
      </w:pPr>
    </w:p>
    <w:tbl>
      <w:tblPr>
        <w:tblStyle w:val="TableGrid"/>
        <w:tblW w:w="0" w:type="auto"/>
        <w:tblLook w:val="04A0" w:firstRow="1" w:lastRow="0" w:firstColumn="1" w:lastColumn="0" w:noHBand="0" w:noVBand="1"/>
      </w:tblPr>
      <w:tblGrid>
        <w:gridCol w:w="2779"/>
        <w:gridCol w:w="4512"/>
        <w:gridCol w:w="2059"/>
      </w:tblGrid>
      <w:tr w:rsidR="00B462DE" w:rsidRPr="00A71E23" w14:paraId="7AE26776" w14:textId="77777777" w:rsidTr="007B0EC3">
        <w:tc>
          <w:tcPr>
            <w:tcW w:w="2779" w:type="dxa"/>
            <w:shd w:val="clear" w:color="auto" w:fill="D9D9D9" w:themeFill="background1" w:themeFillShade="D9"/>
          </w:tcPr>
          <w:p w14:paraId="39052839" w14:textId="77777777" w:rsidR="007B0EC3" w:rsidRPr="00A71E23" w:rsidRDefault="007B0EC3" w:rsidP="00DD13A7">
            <w:pPr>
              <w:rPr>
                <w:b/>
              </w:rPr>
            </w:pPr>
            <w:r w:rsidRPr="00A71E23">
              <w:rPr>
                <w:b/>
              </w:rPr>
              <w:t>Group</w:t>
            </w:r>
          </w:p>
        </w:tc>
        <w:tc>
          <w:tcPr>
            <w:tcW w:w="4512" w:type="dxa"/>
            <w:shd w:val="clear" w:color="auto" w:fill="D9D9D9" w:themeFill="background1" w:themeFillShade="D9"/>
          </w:tcPr>
          <w:p w14:paraId="15E4E7FA" w14:textId="77777777" w:rsidR="007B0EC3" w:rsidRPr="00A71E23" w:rsidRDefault="007B0EC3" w:rsidP="00DD13A7">
            <w:pPr>
              <w:rPr>
                <w:b/>
              </w:rPr>
            </w:pPr>
            <w:r w:rsidRPr="00A71E23">
              <w:rPr>
                <w:b/>
              </w:rPr>
              <w:t>Duty / Responsibility / Action</w:t>
            </w:r>
          </w:p>
        </w:tc>
        <w:tc>
          <w:tcPr>
            <w:tcW w:w="2059" w:type="dxa"/>
            <w:shd w:val="clear" w:color="auto" w:fill="D9D9D9" w:themeFill="background1" w:themeFillShade="D9"/>
          </w:tcPr>
          <w:p w14:paraId="09A4306C" w14:textId="77777777" w:rsidR="007B0EC3" w:rsidRPr="00A71E23" w:rsidRDefault="007B0EC3" w:rsidP="00DD13A7">
            <w:pPr>
              <w:rPr>
                <w:b/>
              </w:rPr>
            </w:pPr>
            <w:r w:rsidRPr="00A71E23">
              <w:rPr>
                <w:b/>
              </w:rPr>
              <w:t>Reference in the doc</w:t>
            </w:r>
          </w:p>
        </w:tc>
      </w:tr>
      <w:tr w:rsidR="00B462DE" w:rsidRPr="00A71E23" w14:paraId="5E708289" w14:textId="77777777" w:rsidTr="007B0EC3">
        <w:tc>
          <w:tcPr>
            <w:tcW w:w="2779" w:type="dxa"/>
          </w:tcPr>
          <w:p w14:paraId="5AA81DF7" w14:textId="77777777" w:rsidR="007B0EC3" w:rsidRPr="00A71E23" w:rsidRDefault="007B0EC3" w:rsidP="00DD13A7">
            <w:pPr>
              <w:rPr>
                <w:b/>
              </w:rPr>
            </w:pPr>
            <w:r w:rsidRPr="00A71E23">
              <w:rPr>
                <w:b/>
              </w:rPr>
              <w:t>CTL</w:t>
            </w:r>
          </w:p>
        </w:tc>
        <w:tc>
          <w:tcPr>
            <w:tcW w:w="4512" w:type="dxa"/>
          </w:tcPr>
          <w:p w14:paraId="7E926F8F" w14:textId="1BBFA1FB" w:rsidR="007B0EC3" w:rsidRPr="00A71E23" w:rsidRDefault="007B0EC3" w:rsidP="007B0EC3">
            <w:pPr>
              <w:pStyle w:val="ListParagraph"/>
              <w:numPr>
                <w:ilvl w:val="0"/>
                <w:numId w:val="15"/>
              </w:numPr>
              <w:ind w:left="438"/>
            </w:pPr>
            <w:r w:rsidRPr="00A71E23">
              <w:t xml:space="preserve">Create </w:t>
            </w:r>
            <w:proofErr w:type="spellStart"/>
            <w:r w:rsidRPr="00A71E23">
              <w:t>SoTL</w:t>
            </w:r>
            <w:proofErr w:type="spellEnd"/>
            <w:r w:rsidRPr="00A71E23">
              <w:t xml:space="preserve"> professional development (PD) series.</w:t>
            </w:r>
          </w:p>
        </w:tc>
        <w:tc>
          <w:tcPr>
            <w:tcW w:w="2059" w:type="dxa"/>
            <w:vMerge w:val="restart"/>
          </w:tcPr>
          <w:p w14:paraId="52CEB131" w14:textId="77777777" w:rsidR="007B0EC3" w:rsidRPr="00A71E23" w:rsidRDefault="007B0EC3" w:rsidP="007B0EC3">
            <w:r w:rsidRPr="00A71E23">
              <w:t>Action Step #1, Task #1</w:t>
            </w:r>
          </w:p>
        </w:tc>
      </w:tr>
      <w:tr w:rsidR="00B462DE" w:rsidRPr="00A71E23" w14:paraId="5C4B6DC6" w14:textId="77777777" w:rsidTr="007B0EC3">
        <w:tc>
          <w:tcPr>
            <w:tcW w:w="2779" w:type="dxa"/>
          </w:tcPr>
          <w:p w14:paraId="1D4CA487" w14:textId="77777777" w:rsidR="007B0EC3" w:rsidRPr="00A71E23" w:rsidRDefault="007B0EC3" w:rsidP="00DD13A7">
            <w:pPr>
              <w:rPr>
                <w:b/>
              </w:rPr>
            </w:pPr>
          </w:p>
        </w:tc>
        <w:tc>
          <w:tcPr>
            <w:tcW w:w="4512" w:type="dxa"/>
          </w:tcPr>
          <w:p w14:paraId="205091F5" w14:textId="09A8FA29" w:rsidR="007B0EC3" w:rsidRPr="00A71E23" w:rsidRDefault="007B0EC3" w:rsidP="007B0EC3">
            <w:pPr>
              <w:pStyle w:val="ListParagraph"/>
              <w:numPr>
                <w:ilvl w:val="0"/>
                <w:numId w:val="15"/>
              </w:numPr>
              <w:ind w:left="438"/>
            </w:pPr>
            <w:r w:rsidRPr="00A71E23">
              <w:t xml:space="preserve">Manage team of faculty to develop the curriculum of the </w:t>
            </w:r>
            <w:proofErr w:type="spellStart"/>
            <w:r w:rsidRPr="00A71E23">
              <w:t>SoTL</w:t>
            </w:r>
            <w:proofErr w:type="spellEnd"/>
            <w:r w:rsidRPr="00A71E23">
              <w:t xml:space="preserve"> PD series.</w:t>
            </w:r>
          </w:p>
        </w:tc>
        <w:tc>
          <w:tcPr>
            <w:tcW w:w="2059" w:type="dxa"/>
            <w:vMerge/>
          </w:tcPr>
          <w:p w14:paraId="4DFC1F59" w14:textId="77777777" w:rsidR="007B0EC3" w:rsidRPr="00A71E23" w:rsidRDefault="007B0EC3" w:rsidP="00DD13A7"/>
        </w:tc>
      </w:tr>
      <w:tr w:rsidR="00B462DE" w:rsidRPr="00A71E23" w14:paraId="1387770E" w14:textId="77777777" w:rsidTr="007B0EC3">
        <w:tc>
          <w:tcPr>
            <w:tcW w:w="2779" w:type="dxa"/>
          </w:tcPr>
          <w:p w14:paraId="54BF39F7" w14:textId="77777777" w:rsidR="007B0EC3" w:rsidRPr="00A71E23" w:rsidRDefault="007B0EC3" w:rsidP="00DD13A7">
            <w:pPr>
              <w:rPr>
                <w:b/>
              </w:rPr>
            </w:pPr>
          </w:p>
        </w:tc>
        <w:tc>
          <w:tcPr>
            <w:tcW w:w="4512" w:type="dxa"/>
          </w:tcPr>
          <w:p w14:paraId="471FAE4B" w14:textId="08281781" w:rsidR="007B0EC3" w:rsidRPr="00A71E23" w:rsidRDefault="007B0EC3" w:rsidP="007B0EC3">
            <w:pPr>
              <w:pStyle w:val="ListParagraph"/>
              <w:numPr>
                <w:ilvl w:val="0"/>
                <w:numId w:val="15"/>
              </w:numPr>
              <w:ind w:left="438"/>
            </w:pPr>
            <w:r w:rsidRPr="00A71E23">
              <w:t xml:space="preserve">Identify best person/team to lead the </w:t>
            </w:r>
            <w:proofErr w:type="spellStart"/>
            <w:r w:rsidRPr="00A71E23">
              <w:t>SoTL</w:t>
            </w:r>
            <w:proofErr w:type="spellEnd"/>
            <w:r w:rsidRPr="00A71E23">
              <w:t xml:space="preserve"> PD series.</w:t>
            </w:r>
          </w:p>
        </w:tc>
        <w:tc>
          <w:tcPr>
            <w:tcW w:w="2059" w:type="dxa"/>
            <w:vMerge/>
          </w:tcPr>
          <w:p w14:paraId="256E4CDD" w14:textId="77777777" w:rsidR="007B0EC3" w:rsidRPr="00A71E23" w:rsidRDefault="007B0EC3" w:rsidP="00DD13A7"/>
        </w:tc>
      </w:tr>
      <w:tr w:rsidR="00B462DE" w:rsidRPr="00A71E23" w14:paraId="26D6B1A8" w14:textId="77777777" w:rsidTr="007B0EC3">
        <w:tc>
          <w:tcPr>
            <w:tcW w:w="2779" w:type="dxa"/>
          </w:tcPr>
          <w:p w14:paraId="4EEF137A" w14:textId="77777777" w:rsidR="007B0EC3" w:rsidRPr="00A71E23" w:rsidRDefault="007B0EC3" w:rsidP="00DD13A7">
            <w:pPr>
              <w:rPr>
                <w:b/>
              </w:rPr>
            </w:pPr>
          </w:p>
        </w:tc>
        <w:tc>
          <w:tcPr>
            <w:tcW w:w="4512" w:type="dxa"/>
          </w:tcPr>
          <w:p w14:paraId="44CAFC6C" w14:textId="21B5D72D" w:rsidR="007B0EC3" w:rsidRPr="00A71E23" w:rsidRDefault="007B0EC3" w:rsidP="007B0EC3">
            <w:pPr>
              <w:pStyle w:val="ListParagraph"/>
              <w:numPr>
                <w:ilvl w:val="0"/>
                <w:numId w:val="15"/>
              </w:numPr>
              <w:ind w:left="438"/>
            </w:pPr>
            <w:r w:rsidRPr="00A71E23">
              <w:t xml:space="preserve">Employ/manage faculty </w:t>
            </w:r>
            <w:proofErr w:type="spellStart"/>
            <w:r w:rsidRPr="00A71E23">
              <w:t>SoTL</w:t>
            </w:r>
            <w:proofErr w:type="spellEnd"/>
            <w:r w:rsidRPr="00A71E23">
              <w:t xml:space="preserve"> consultant(s).</w:t>
            </w:r>
          </w:p>
        </w:tc>
        <w:tc>
          <w:tcPr>
            <w:tcW w:w="2059" w:type="dxa"/>
          </w:tcPr>
          <w:p w14:paraId="3A42918D" w14:textId="77777777" w:rsidR="007B0EC3" w:rsidRPr="00A71E23" w:rsidRDefault="007B0EC3" w:rsidP="00DD13A7">
            <w:r w:rsidRPr="00A71E23">
              <w:t>Action Step #1, Task #2</w:t>
            </w:r>
          </w:p>
        </w:tc>
      </w:tr>
      <w:tr w:rsidR="00B462DE" w:rsidRPr="00A71E23" w14:paraId="0D9DA2FF" w14:textId="77777777" w:rsidTr="007B0EC3">
        <w:tc>
          <w:tcPr>
            <w:tcW w:w="2779" w:type="dxa"/>
          </w:tcPr>
          <w:p w14:paraId="156A2EEF" w14:textId="77777777" w:rsidR="007B0EC3" w:rsidRPr="00A71E23" w:rsidRDefault="007B0EC3" w:rsidP="00DD13A7">
            <w:pPr>
              <w:rPr>
                <w:b/>
              </w:rPr>
            </w:pPr>
          </w:p>
        </w:tc>
        <w:tc>
          <w:tcPr>
            <w:tcW w:w="4512" w:type="dxa"/>
          </w:tcPr>
          <w:p w14:paraId="25974371" w14:textId="4FE2C684" w:rsidR="007B0EC3" w:rsidRPr="00A71E23" w:rsidRDefault="007B0EC3" w:rsidP="007B0EC3">
            <w:pPr>
              <w:pStyle w:val="ListParagraph"/>
              <w:numPr>
                <w:ilvl w:val="0"/>
                <w:numId w:val="15"/>
              </w:numPr>
              <w:ind w:left="438"/>
            </w:pPr>
            <w:r w:rsidRPr="00A71E23">
              <w:t xml:space="preserve">Develop mini-grants within the CTL to support </w:t>
            </w:r>
            <w:proofErr w:type="spellStart"/>
            <w:r w:rsidRPr="00A71E23">
              <w:t>SoTL</w:t>
            </w:r>
            <w:proofErr w:type="spellEnd"/>
            <w:r w:rsidRPr="00A71E23">
              <w:t xml:space="preserve"> research.</w:t>
            </w:r>
          </w:p>
        </w:tc>
        <w:tc>
          <w:tcPr>
            <w:tcW w:w="2059" w:type="dxa"/>
          </w:tcPr>
          <w:p w14:paraId="37031DDE" w14:textId="4AB98479" w:rsidR="007B0EC3" w:rsidRPr="00A71E23" w:rsidRDefault="00C52C3E" w:rsidP="00DD13A7">
            <w:r>
              <w:t>Action Step #1, Task #4</w:t>
            </w:r>
          </w:p>
        </w:tc>
      </w:tr>
      <w:tr w:rsidR="00B462DE" w:rsidRPr="00A71E23" w14:paraId="04DDBC8F" w14:textId="77777777" w:rsidTr="007B0EC3">
        <w:tc>
          <w:tcPr>
            <w:tcW w:w="2779" w:type="dxa"/>
          </w:tcPr>
          <w:p w14:paraId="7382BFD7" w14:textId="77777777" w:rsidR="007B0EC3" w:rsidRPr="00A71E23" w:rsidRDefault="007B0EC3" w:rsidP="00DD13A7">
            <w:pPr>
              <w:rPr>
                <w:b/>
              </w:rPr>
            </w:pPr>
          </w:p>
        </w:tc>
        <w:tc>
          <w:tcPr>
            <w:tcW w:w="4512" w:type="dxa"/>
          </w:tcPr>
          <w:p w14:paraId="7A068593" w14:textId="580CADA4" w:rsidR="007B0EC3" w:rsidRPr="00A71E23" w:rsidRDefault="007B0EC3" w:rsidP="007B0EC3">
            <w:pPr>
              <w:pStyle w:val="ListParagraph"/>
              <w:numPr>
                <w:ilvl w:val="0"/>
                <w:numId w:val="15"/>
              </w:numPr>
              <w:ind w:left="438"/>
            </w:pPr>
            <w:r w:rsidRPr="00A71E23">
              <w:t>Conduct workshops and seminars that showcase evidence-based teaching.</w:t>
            </w:r>
          </w:p>
        </w:tc>
        <w:tc>
          <w:tcPr>
            <w:tcW w:w="2059" w:type="dxa"/>
          </w:tcPr>
          <w:p w14:paraId="673F5CF3" w14:textId="77777777" w:rsidR="007B0EC3" w:rsidRPr="00A71E23" w:rsidRDefault="007B0EC3" w:rsidP="00DD13A7">
            <w:r w:rsidRPr="00A71E23">
              <w:t>Action Step #2, Task #3</w:t>
            </w:r>
          </w:p>
        </w:tc>
      </w:tr>
      <w:tr w:rsidR="00B462DE" w:rsidRPr="00A71E23" w14:paraId="7A38D071" w14:textId="77777777" w:rsidTr="007B0EC3">
        <w:tc>
          <w:tcPr>
            <w:tcW w:w="2779" w:type="dxa"/>
          </w:tcPr>
          <w:p w14:paraId="49976B1A" w14:textId="77777777" w:rsidR="007B0EC3" w:rsidRPr="00A71E23" w:rsidRDefault="007B0EC3" w:rsidP="00DD13A7">
            <w:pPr>
              <w:rPr>
                <w:b/>
              </w:rPr>
            </w:pPr>
          </w:p>
        </w:tc>
        <w:tc>
          <w:tcPr>
            <w:tcW w:w="4512" w:type="dxa"/>
          </w:tcPr>
          <w:p w14:paraId="50F4A447" w14:textId="5D3A2EEA" w:rsidR="007B0EC3" w:rsidRPr="00A71E23" w:rsidRDefault="007B0EC3" w:rsidP="00C52C3E">
            <w:pPr>
              <w:pStyle w:val="ListParagraph"/>
              <w:numPr>
                <w:ilvl w:val="0"/>
                <w:numId w:val="15"/>
              </w:numPr>
              <w:ind w:left="438"/>
            </w:pPr>
            <w:r w:rsidRPr="00A71E23">
              <w:t xml:space="preserve">Appoint </w:t>
            </w:r>
            <w:r w:rsidR="00C52C3E">
              <w:t>CTL staff</w:t>
            </w:r>
            <w:r w:rsidR="00C52C3E" w:rsidRPr="00A71E23">
              <w:t xml:space="preserve"> </w:t>
            </w:r>
            <w:r w:rsidRPr="00A71E23">
              <w:t>member to serve on Advisory Council.</w:t>
            </w:r>
          </w:p>
        </w:tc>
        <w:tc>
          <w:tcPr>
            <w:tcW w:w="2059" w:type="dxa"/>
          </w:tcPr>
          <w:p w14:paraId="544F1DD8" w14:textId="77777777" w:rsidR="007B0EC3" w:rsidRPr="00A71E23" w:rsidRDefault="007B0EC3" w:rsidP="00DD13A7">
            <w:r w:rsidRPr="00A71E23">
              <w:t>Action Step #3, Task #2</w:t>
            </w:r>
          </w:p>
        </w:tc>
      </w:tr>
      <w:tr w:rsidR="00B462DE" w:rsidRPr="00A71E23" w14:paraId="32BDB9AE" w14:textId="77777777" w:rsidTr="007B0EC3">
        <w:tc>
          <w:tcPr>
            <w:tcW w:w="2779" w:type="dxa"/>
          </w:tcPr>
          <w:p w14:paraId="70A16B3F" w14:textId="77777777" w:rsidR="007B0EC3" w:rsidRPr="00A71E23" w:rsidRDefault="007B0EC3" w:rsidP="00DD13A7">
            <w:pPr>
              <w:rPr>
                <w:b/>
              </w:rPr>
            </w:pPr>
          </w:p>
        </w:tc>
        <w:tc>
          <w:tcPr>
            <w:tcW w:w="4512" w:type="dxa"/>
          </w:tcPr>
          <w:p w14:paraId="7B9C34D0" w14:textId="5A82293A" w:rsidR="007B0EC3" w:rsidRPr="00A71E23" w:rsidRDefault="007B0EC3" w:rsidP="007B0EC3">
            <w:pPr>
              <w:pStyle w:val="ListParagraph"/>
              <w:numPr>
                <w:ilvl w:val="0"/>
                <w:numId w:val="15"/>
              </w:numPr>
              <w:ind w:left="438"/>
            </w:pPr>
            <w:r w:rsidRPr="00A71E23">
              <w:t>Develop PD series re: best practices in mentoring students in research.</w:t>
            </w:r>
          </w:p>
        </w:tc>
        <w:tc>
          <w:tcPr>
            <w:tcW w:w="2059" w:type="dxa"/>
          </w:tcPr>
          <w:p w14:paraId="32A3032E" w14:textId="77777777" w:rsidR="007B0EC3" w:rsidRPr="00A71E23" w:rsidRDefault="007B0EC3" w:rsidP="00DD13A7">
            <w:r w:rsidRPr="00A71E23">
              <w:t>Action Step #3, Task #3</w:t>
            </w:r>
          </w:p>
        </w:tc>
      </w:tr>
      <w:tr w:rsidR="00B462DE" w:rsidRPr="00A71E23" w14:paraId="5F39B745" w14:textId="77777777" w:rsidTr="007B0EC3">
        <w:tc>
          <w:tcPr>
            <w:tcW w:w="2779" w:type="dxa"/>
          </w:tcPr>
          <w:p w14:paraId="7E2AFB6A" w14:textId="77777777" w:rsidR="007B0EC3" w:rsidRPr="00A71E23" w:rsidRDefault="007B0EC3" w:rsidP="00DD13A7">
            <w:pPr>
              <w:rPr>
                <w:b/>
              </w:rPr>
            </w:pPr>
            <w:r w:rsidRPr="00A71E23">
              <w:rPr>
                <w:b/>
              </w:rPr>
              <w:t>Graduate School</w:t>
            </w:r>
          </w:p>
        </w:tc>
        <w:tc>
          <w:tcPr>
            <w:tcW w:w="4512" w:type="dxa"/>
          </w:tcPr>
          <w:p w14:paraId="51FC1980" w14:textId="369C9167" w:rsidR="007B0EC3" w:rsidRPr="00A71E23" w:rsidRDefault="007B0EC3" w:rsidP="007B0EC3">
            <w:pPr>
              <w:pStyle w:val="ListParagraph"/>
              <w:numPr>
                <w:ilvl w:val="0"/>
                <w:numId w:val="16"/>
              </w:numPr>
              <w:ind w:left="438"/>
            </w:pPr>
            <w:r w:rsidRPr="00A71E23">
              <w:t xml:space="preserve">Allocate one </w:t>
            </w:r>
            <w:proofErr w:type="spellStart"/>
            <w:r w:rsidRPr="00A71E23">
              <w:t>GAship</w:t>
            </w:r>
            <w:proofErr w:type="spellEnd"/>
            <w:r w:rsidRPr="00A71E23">
              <w:t xml:space="preserve"> by </w:t>
            </w:r>
            <w:proofErr w:type="gramStart"/>
            <w:r w:rsidRPr="00A71E23">
              <w:t>Fall</w:t>
            </w:r>
            <w:proofErr w:type="gramEnd"/>
            <w:r w:rsidRPr="00A71E23">
              <w:t xml:space="preserve"> 2017 or Spring 2018.</w:t>
            </w:r>
          </w:p>
        </w:tc>
        <w:tc>
          <w:tcPr>
            <w:tcW w:w="2059" w:type="dxa"/>
          </w:tcPr>
          <w:p w14:paraId="4F6B376A" w14:textId="77777777" w:rsidR="007B0EC3" w:rsidRPr="00A71E23" w:rsidRDefault="007B0EC3" w:rsidP="00DD13A7">
            <w:r w:rsidRPr="00A71E23">
              <w:t>Action Step #1, Task #3</w:t>
            </w:r>
          </w:p>
        </w:tc>
      </w:tr>
      <w:tr w:rsidR="00B462DE" w:rsidRPr="00A71E23" w14:paraId="0036F5FE" w14:textId="77777777" w:rsidTr="007B0EC3">
        <w:tc>
          <w:tcPr>
            <w:tcW w:w="2779" w:type="dxa"/>
          </w:tcPr>
          <w:p w14:paraId="4438C322" w14:textId="0F2718CE" w:rsidR="007B0EC3" w:rsidRPr="00A71E23" w:rsidRDefault="007B0EC3" w:rsidP="00DD13A7">
            <w:pPr>
              <w:rPr>
                <w:b/>
              </w:rPr>
            </w:pPr>
            <w:r w:rsidRPr="00A71E23">
              <w:rPr>
                <w:b/>
              </w:rPr>
              <w:t>University-wide Team</w:t>
            </w:r>
            <w:r w:rsidR="00C52C3E">
              <w:rPr>
                <w:b/>
              </w:rPr>
              <w:t>(s)</w:t>
            </w:r>
            <w:r w:rsidRPr="00A71E23">
              <w:rPr>
                <w:b/>
              </w:rPr>
              <w:t xml:space="preserve"> / Committee</w:t>
            </w:r>
            <w:r w:rsidR="00C52C3E">
              <w:rPr>
                <w:b/>
              </w:rPr>
              <w:t>(s)</w:t>
            </w:r>
          </w:p>
        </w:tc>
        <w:tc>
          <w:tcPr>
            <w:tcW w:w="4512" w:type="dxa"/>
          </w:tcPr>
          <w:p w14:paraId="50A2CCDD" w14:textId="16F5EA8A" w:rsidR="007B0EC3" w:rsidRPr="00A71E23" w:rsidRDefault="007B0EC3" w:rsidP="007B0EC3">
            <w:pPr>
              <w:pStyle w:val="ListParagraph"/>
              <w:numPr>
                <w:ilvl w:val="0"/>
                <w:numId w:val="17"/>
              </w:numPr>
              <w:ind w:left="438"/>
            </w:pPr>
            <w:r w:rsidRPr="00A71E23">
              <w:t xml:space="preserve">Re-assess criteria for awarding of relevant funding, awards, and T &amp; P for faculty engaging in </w:t>
            </w:r>
            <w:proofErr w:type="spellStart"/>
            <w:r w:rsidRPr="00A71E23">
              <w:t>SoTL</w:t>
            </w:r>
            <w:proofErr w:type="spellEnd"/>
            <w:r w:rsidRPr="00A71E23">
              <w:t>.</w:t>
            </w:r>
          </w:p>
        </w:tc>
        <w:tc>
          <w:tcPr>
            <w:tcW w:w="2059" w:type="dxa"/>
          </w:tcPr>
          <w:p w14:paraId="109A0824" w14:textId="77777777" w:rsidR="007B0EC3" w:rsidRPr="00A71E23" w:rsidRDefault="007B0EC3" w:rsidP="00DD13A7">
            <w:r w:rsidRPr="00A71E23">
              <w:t>Action Step #1, Task #4</w:t>
            </w:r>
          </w:p>
        </w:tc>
      </w:tr>
      <w:tr w:rsidR="004A1962" w:rsidRPr="00A71E23" w14:paraId="50696485" w14:textId="77777777" w:rsidTr="007B0EC3">
        <w:tc>
          <w:tcPr>
            <w:tcW w:w="2779" w:type="dxa"/>
          </w:tcPr>
          <w:p w14:paraId="1CB84740" w14:textId="77777777" w:rsidR="004A1962" w:rsidRDefault="004A1962" w:rsidP="00DD13A7">
            <w:pPr>
              <w:rPr>
                <w:b/>
              </w:rPr>
            </w:pPr>
          </w:p>
        </w:tc>
        <w:tc>
          <w:tcPr>
            <w:tcW w:w="4512" w:type="dxa"/>
          </w:tcPr>
          <w:p w14:paraId="64922F59" w14:textId="1F1BDC1B" w:rsidR="004A1962" w:rsidRDefault="004A1962" w:rsidP="007B0EC3">
            <w:pPr>
              <w:pStyle w:val="ListParagraph"/>
              <w:numPr>
                <w:ilvl w:val="0"/>
                <w:numId w:val="17"/>
              </w:numPr>
              <w:ind w:left="438"/>
            </w:pPr>
            <w:r w:rsidRPr="00A71E23">
              <w:t>Re-evaluate teaching load policy</w:t>
            </w:r>
          </w:p>
        </w:tc>
        <w:tc>
          <w:tcPr>
            <w:tcW w:w="2059" w:type="dxa"/>
          </w:tcPr>
          <w:p w14:paraId="572F6603" w14:textId="697AFE19" w:rsidR="004A1962" w:rsidRDefault="004A1962" w:rsidP="004A1962">
            <w:r w:rsidRPr="00A71E23">
              <w:t>Action Step #3, Task #</w:t>
            </w:r>
            <w:r>
              <w:t>4</w:t>
            </w:r>
          </w:p>
        </w:tc>
      </w:tr>
      <w:tr w:rsidR="00B462DE" w:rsidRPr="00A71E23" w14:paraId="72C62CC4" w14:textId="77777777" w:rsidTr="007B0EC3">
        <w:tc>
          <w:tcPr>
            <w:tcW w:w="2779" w:type="dxa"/>
          </w:tcPr>
          <w:p w14:paraId="5787CB7E" w14:textId="77777777" w:rsidR="007B0EC3" w:rsidRPr="00A71E23" w:rsidRDefault="007B0EC3" w:rsidP="00DD13A7">
            <w:pPr>
              <w:rPr>
                <w:b/>
              </w:rPr>
            </w:pPr>
            <w:r w:rsidRPr="00A71E23">
              <w:rPr>
                <w:b/>
              </w:rPr>
              <w:t>University Research Council</w:t>
            </w:r>
          </w:p>
        </w:tc>
        <w:tc>
          <w:tcPr>
            <w:tcW w:w="4512" w:type="dxa"/>
          </w:tcPr>
          <w:p w14:paraId="0F967FCA" w14:textId="2B516C8E" w:rsidR="007B0EC3" w:rsidRPr="00A71E23" w:rsidRDefault="007B0EC3" w:rsidP="00B462DE">
            <w:pPr>
              <w:pStyle w:val="ListParagraph"/>
              <w:numPr>
                <w:ilvl w:val="0"/>
                <w:numId w:val="18"/>
              </w:numPr>
              <w:ind w:left="438"/>
            </w:pPr>
            <w:r w:rsidRPr="00A71E23">
              <w:t xml:space="preserve">Appoint a faculty member familiar with </w:t>
            </w:r>
            <w:proofErr w:type="spellStart"/>
            <w:r w:rsidRPr="00A71E23">
              <w:t>SoTL</w:t>
            </w:r>
            <w:proofErr w:type="spellEnd"/>
            <w:r w:rsidRPr="00A71E23">
              <w:t xml:space="preserve"> </w:t>
            </w:r>
            <w:r w:rsidR="00B462DE">
              <w:t>to</w:t>
            </w:r>
            <w:r w:rsidR="00B462DE" w:rsidRPr="00A71E23">
              <w:t xml:space="preserve"> </w:t>
            </w:r>
            <w:r w:rsidRPr="00A71E23">
              <w:t xml:space="preserve">the </w:t>
            </w:r>
            <w:r w:rsidR="00B462DE">
              <w:t xml:space="preserve">University Research </w:t>
            </w:r>
            <w:r w:rsidRPr="00A71E23">
              <w:t xml:space="preserve">Council to ensure </w:t>
            </w:r>
            <w:proofErr w:type="spellStart"/>
            <w:r w:rsidRPr="00A71E23">
              <w:t>SoTL</w:t>
            </w:r>
            <w:proofErr w:type="spellEnd"/>
            <w:r w:rsidRPr="00A71E23">
              <w:t xml:space="preserve"> research projects receive equal consideration for mini-grants and other funding</w:t>
            </w:r>
          </w:p>
        </w:tc>
        <w:tc>
          <w:tcPr>
            <w:tcW w:w="2059" w:type="dxa"/>
          </w:tcPr>
          <w:p w14:paraId="1BB1102C" w14:textId="77777777" w:rsidR="007B0EC3" w:rsidRPr="00A71E23" w:rsidRDefault="007B0EC3" w:rsidP="00DD13A7">
            <w:r w:rsidRPr="00A71E23">
              <w:t>Action Step #1, Task #5</w:t>
            </w:r>
          </w:p>
        </w:tc>
      </w:tr>
      <w:tr w:rsidR="00B462DE" w:rsidRPr="00A71E23" w14:paraId="2C45F42B" w14:textId="77777777" w:rsidTr="007B0EC3">
        <w:tc>
          <w:tcPr>
            <w:tcW w:w="2779" w:type="dxa"/>
          </w:tcPr>
          <w:p w14:paraId="37B051AA" w14:textId="77777777" w:rsidR="007B0EC3" w:rsidRPr="00A71E23" w:rsidRDefault="007B0EC3" w:rsidP="00DD13A7">
            <w:pPr>
              <w:rPr>
                <w:b/>
              </w:rPr>
            </w:pPr>
            <w:r w:rsidRPr="00A71E23">
              <w:rPr>
                <w:b/>
              </w:rPr>
              <w:t>ORSP</w:t>
            </w:r>
          </w:p>
        </w:tc>
        <w:tc>
          <w:tcPr>
            <w:tcW w:w="4512" w:type="dxa"/>
          </w:tcPr>
          <w:p w14:paraId="0239C758" w14:textId="6CD22F9E" w:rsidR="007B0EC3" w:rsidRPr="00A71E23" w:rsidRDefault="007B0EC3" w:rsidP="004A1962">
            <w:pPr>
              <w:pStyle w:val="ListParagraph"/>
              <w:numPr>
                <w:ilvl w:val="0"/>
                <w:numId w:val="19"/>
              </w:numPr>
              <w:ind w:left="438"/>
            </w:pPr>
            <w:r w:rsidRPr="00A71E23">
              <w:t>Coordinate with University-wide Team</w:t>
            </w:r>
            <w:r w:rsidR="00B462DE">
              <w:t>(s)</w:t>
            </w:r>
            <w:r w:rsidRPr="00A71E23">
              <w:t xml:space="preserve"> / Committee</w:t>
            </w:r>
            <w:r w:rsidR="00B462DE">
              <w:t>(s)</w:t>
            </w:r>
            <w:r w:rsidRPr="00A71E23">
              <w:t>, the University Research Council, and the CTL re: Action Step #1, Task #4-5</w:t>
            </w:r>
          </w:p>
        </w:tc>
        <w:tc>
          <w:tcPr>
            <w:tcW w:w="2059" w:type="dxa"/>
          </w:tcPr>
          <w:p w14:paraId="7DA1339C" w14:textId="77777777" w:rsidR="007B0EC3" w:rsidRPr="00A71E23" w:rsidRDefault="007B0EC3" w:rsidP="00DD13A7">
            <w:r w:rsidRPr="00A71E23">
              <w:t>Action Step #1, Task #4-#5</w:t>
            </w:r>
          </w:p>
        </w:tc>
      </w:tr>
      <w:tr w:rsidR="00B462DE" w:rsidRPr="00A71E23" w14:paraId="053FE357" w14:textId="77777777" w:rsidTr="007B0EC3">
        <w:tc>
          <w:tcPr>
            <w:tcW w:w="2779" w:type="dxa"/>
          </w:tcPr>
          <w:p w14:paraId="12B4CFD8" w14:textId="77777777" w:rsidR="007B0EC3" w:rsidRPr="00A71E23" w:rsidRDefault="007B0EC3" w:rsidP="00DD13A7">
            <w:pPr>
              <w:rPr>
                <w:b/>
              </w:rPr>
            </w:pPr>
          </w:p>
        </w:tc>
        <w:tc>
          <w:tcPr>
            <w:tcW w:w="4512" w:type="dxa"/>
          </w:tcPr>
          <w:p w14:paraId="3D964A1D" w14:textId="2C95AA8E" w:rsidR="007B0EC3" w:rsidRPr="00A71E23" w:rsidRDefault="00B462DE" w:rsidP="00B462DE">
            <w:pPr>
              <w:pStyle w:val="ListParagraph"/>
              <w:numPr>
                <w:ilvl w:val="0"/>
                <w:numId w:val="19"/>
              </w:numPr>
              <w:ind w:left="438"/>
            </w:pPr>
            <w:r>
              <w:t xml:space="preserve">Appoint a staff member to </w:t>
            </w:r>
            <w:r w:rsidR="007B0EC3" w:rsidRPr="00A71E23">
              <w:t>Advisory Council</w:t>
            </w:r>
          </w:p>
        </w:tc>
        <w:tc>
          <w:tcPr>
            <w:tcW w:w="2059" w:type="dxa"/>
          </w:tcPr>
          <w:p w14:paraId="49A620AA" w14:textId="77777777" w:rsidR="007B0EC3" w:rsidRPr="00A71E23" w:rsidRDefault="007B0EC3" w:rsidP="00DD13A7">
            <w:r w:rsidRPr="00A71E23">
              <w:t>Action Step #3, Task #2</w:t>
            </w:r>
          </w:p>
        </w:tc>
      </w:tr>
      <w:tr w:rsidR="00B462DE" w:rsidRPr="00A71E23" w14:paraId="1DD62E9D" w14:textId="77777777" w:rsidTr="007B0EC3">
        <w:tc>
          <w:tcPr>
            <w:tcW w:w="2779" w:type="dxa"/>
          </w:tcPr>
          <w:p w14:paraId="7F014250" w14:textId="77777777" w:rsidR="007B0EC3" w:rsidRPr="00A71E23" w:rsidRDefault="007B0EC3" w:rsidP="00DD13A7">
            <w:pPr>
              <w:rPr>
                <w:b/>
              </w:rPr>
            </w:pPr>
          </w:p>
        </w:tc>
        <w:tc>
          <w:tcPr>
            <w:tcW w:w="4512" w:type="dxa"/>
          </w:tcPr>
          <w:p w14:paraId="6E5A02BA" w14:textId="014714D9" w:rsidR="007B0EC3" w:rsidRPr="00A71E23" w:rsidRDefault="00B462DE" w:rsidP="00B462DE">
            <w:pPr>
              <w:pStyle w:val="ListParagraph"/>
              <w:numPr>
                <w:ilvl w:val="0"/>
                <w:numId w:val="19"/>
              </w:numPr>
              <w:ind w:left="438"/>
            </w:pPr>
            <w:r>
              <w:t>Work with CTL to d</w:t>
            </w:r>
            <w:r w:rsidR="007B0EC3" w:rsidRPr="00A71E23">
              <w:t>evelop PD series re: best practices in mentoring students in research</w:t>
            </w:r>
          </w:p>
        </w:tc>
        <w:tc>
          <w:tcPr>
            <w:tcW w:w="2059" w:type="dxa"/>
          </w:tcPr>
          <w:p w14:paraId="0E278997" w14:textId="77777777" w:rsidR="007B0EC3" w:rsidRPr="00A71E23" w:rsidRDefault="007B0EC3" w:rsidP="00DD13A7">
            <w:r w:rsidRPr="00A71E23">
              <w:t>Action Step #3, Task #3</w:t>
            </w:r>
          </w:p>
        </w:tc>
      </w:tr>
      <w:tr w:rsidR="00B462DE" w:rsidRPr="00A71E23" w14:paraId="47DF1CE3" w14:textId="77777777" w:rsidTr="007B0EC3">
        <w:tc>
          <w:tcPr>
            <w:tcW w:w="2779" w:type="dxa"/>
          </w:tcPr>
          <w:p w14:paraId="3CC6FED3" w14:textId="77777777" w:rsidR="007B0EC3" w:rsidRPr="00A71E23" w:rsidRDefault="007B0EC3" w:rsidP="00DD13A7">
            <w:pPr>
              <w:rPr>
                <w:b/>
              </w:rPr>
            </w:pPr>
            <w:r w:rsidRPr="00A71E23">
              <w:rPr>
                <w:b/>
              </w:rPr>
              <w:t>Human Resources, academic departments</w:t>
            </w:r>
          </w:p>
        </w:tc>
        <w:tc>
          <w:tcPr>
            <w:tcW w:w="4512" w:type="dxa"/>
          </w:tcPr>
          <w:p w14:paraId="392AAA90" w14:textId="77777777" w:rsidR="007B0EC3" w:rsidRPr="00A71E23" w:rsidRDefault="007B0EC3" w:rsidP="007B0EC3">
            <w:pPr>
              <w:pStyle w:val="ListParagraph"/>
              <w:numPr>
                <w:ilvl w:val="0"/>
                <w:numId w:val="20"/>
              </w:numPr>
              <w:ind w:left="438"/>
            </w:pPr>
            <w:r w:rsidRPr="00A71E23">
              <w:t xml:space="preserve">Update job ads for faculty positions </w:t>
            </w:r>
          </w:p>
        </w:tc>
        <w:tc>
          <w:tcPr>
            <w:tcW w:w="2059" w:type="dxa"/>
          </w:tcPr>
          <w:p w14:paraId="34DE1BD9" w14:textId="77777777" w:rsidR="007B0EC3" w:rsidRPr="00A71E23" w:rsidRDefault="007B0EC3" w:rsidP="00DD13A7">
            <w:r w:rsidRPr="00A71E23">
              <w:t>Action Step #2, Task #1</w:t>
            </w:r>
          </w:p>
        </w:tc>
      </w:tr>
      <w:tr w:rsidR="00B462DE" w:rsidRPr="00A71E23" w14:paraId="77AC5976" w14:textId="77777777" w:rsidTr="007B0EC3">
        <w:tc>
          <w:tcPr>
            <w:tcW w:w="2779" w:type="dxa"/>
          </w:tcPr>
          <w:p w14:paraId="55640E20" w14:textId="77777777" w:rsidR="007B0EC3" w:rsidRPr="00A71E23" w:rsidRDefault="007B0EC3" w:rsidP="00DD13A7">
            <w:pPr>
              <w:rPr>
                <w:b/>
              </w:rPr>
            </w:pPr>
            <w:r w:rsidRPr="00A71E23">
              <w:rPr>
                <w:b/>
              </w:rPr>
              <w:lastRenderedPageBreak/>
              <w:t xml:space="preserve">Library </w:t>
            </w:r>
          </w:p>
        </w:tc>
        <w:tc>
          <w:tcPr>
            <w:tcW w:w="4512" w:type="dxa"/>
          </w:tcPr>
          <w:p w14:paraId="7A7EBD69" w14:textId="074716DB" w:rsidR="007B0EC3" w:rsidRPr="00A71E23" w:rsidRDefault="00B462DE" w:rsidP="004A1962">
            <w:pPr>
              <w:pStyle w:val="ListParagraph"/>
              <w:numPr>
                <w:ilvl w:val="0"/>
                <w:numId w:val="21"/>
              </w:numPr>
              <w:ind w:left="438"/>
            </w:pPr>
            <w:r>
              <w:t>Acquire additional</w:t>
            </w:r>
            <w:r w:rsidR="007B0EC3" w:rsidRPr="00A71E23">
              <w:t xml:space="preserve"> library resources </w:t>
            </w:r>
            <w:r>
              <w:t>to support scholarly teaching</w:t>
            </w:r>
          </w:p>
        </w:tc>
        <w:tc>
          <w:tcPr>
            <w:tcW w:w="2059" w:type="dxa"/>
          </w:tcPr>
          <w:p w14:paraId="6B35528A" w14:textId="77777777" w:rsidR="007B0EC3" w:rsidRPr="00A71E23" w:rsidRDefault="007B0EC3" w:rsidP="00DD13A7">
            <w:r w:rsidRPr="00A71E23">
              <w:t>Action Step #2, Task #2</w:t>
            </w:r>
          </w:p>
        </w:tc>
      </w:tr>
      <w:tr w:rsidR="00B462DE" w:rsidRPr="00A71E23" w14:paraId="450544FA" w14:textId="77777777" w:rsidTr="007B0EC3">
        <w:tc>
          <w:tcPr>
            <w:tcW w:w="2779" w:type="dxa"/>
          </w:tcPr>
          <w:p w14:paraId="29F10246" w14:textId="77777777" w:rsidR="007B0EC3" w:rsidRPr="00A71E23" w:rsidRDefault="007B0EC3" w:rsidP="00DD13A7">
            <w:pPr>
              <w:rPr>
                <w:b/>
              </w:rPr>
            </w:pPr>
          </w:p>
        </w:tc>
        <w:tc>
          <w:tcPr>
            <w:tcW w:w="4512" w:type="dxa"/>
          </w:tcPr>
          <w:p w14:paraId="1DF0FB64" w14:textId="7F74A12B" w:rsidR="007B0EC3" w:rsidRPr="00A71E23" w:rsidRDefault="00B462DE" w:rsidP="00B462DE">
            <w:pPr>
              <w:pStyle w:val="ListParagraph"/>
              <w:numPr>
                <w:ilvl w:val="0"/>
                <w:numId w:val="21"/>
              </w:numPr>
              <w:ind w:left="438"/>
            </w:pPr>
            <w:r>
              <w:t xml:space="preserve">Appoint a staff member to </w:t>
            </w:r>
            <w:r w:rsidR="007B0EC3" w:rsidRPr="00A71E23">
              <w:t xml:space="preserve">Advisory Council </w:t>
            </w:r>
          </w:p>
        </w:tc>
        <w:tc>
          <w:tcPr>
            <w:tcW w:w="2059" w:type="dxa"/>
          </w:tcPr>
          <w:p w14:paraId="40E8FB80" w14:textId="77777777" w:rsidR="007B0EC3" w:rsidRPr="00A71E23" w:rsidRDefault="007B0EC3" w:rsidP="00DD13A7">
            <w:r w:rsidRPr="00A71E23">
              <w:t>Action Step #3, Task #2</w:t>
            </w:r>
          </w:p>
        </w:tc>
      </w:tr>
      <w:tr w:rsidR="00B462DE" w:rsidRPr="00A71E23" w14:paraId="07967AC2" w14:textId="77777777" w:rsidTr="007B0EC3">
        <w:tc>
          <w:tcPr>
            <w:tcW w:w="2779" w:type="dxa"/>
          </w:tcPr>
          <w:p w14:paraId="7633FEBD" w14:textId="77777777" w:rsidR="007B0EC3" w:rsidRPr="00A71E23" w:rsidRDefault="007B0EC3" w:rsidP="00DD13A7">
            <w:pPr>
              <w:rPr>
                <w:b/>
              </w:rPr>
            </w:pPr>
          </w:p>
        </w:tc>
        <w:tc>
          <w:tcPr>
            <w:tcW w:w="4512" w:type="dxa"/>
          </w:tcPr>
          <w:p w14:paraId="43C08349" w14:textId="30E3AABC" w:rsidR="007B0EC3" w:rsidRPr="00A71E23" w:rsidRDefault="00B462DE" w:rsidP="004A1962">
            <w:pPr>
              <w:pStyle w:val="ListParagraph"/>
              <w:numPr>
                <w:ilvl w:val="0"/>
                <w:numId w:val="21"/>
              </w:numPr>
              <w:ind w:left="438"/>
            </w:pPr>
            <w:r>
              <w:t>Acquire additional</w:t>
            </w:r>
            <w:r w:rsidRPr="00A71E23">
              <w:t xml:space="preserve"> </w:t>
            </w:r>
            <w:r w:rsidR="007B0EC3" w:rsidRPr="00A71E23">
              <w:t>library resources</w:t>
            </w:r>
            <w:r>
              <w:t xml:space="preserve"> to support mentored undergraduate research.</w:t>
            </w:r>
          </w:p>
        </w:tc>
        <w:tc>
          <w:tcPr>
            <w:tcW w:w="2059" w:type="dxa"/>
          </w:tcPr>
          <w:p w14:paraId="4B794D47" w14:textId="0FC78071" w:rsidR="007B0EC3" w:rsidRPr="00A71E23" w:rsidRDefault="007B0EC3" w:rsidP="00B462DE">
            <w:r w:rsidRPr="00A71E23">
              <w:t>Action Step #3, Task #</w:t>
            </w:r>
            <w:r w:rsidR="00B462DE">
              <w:t>7</w:t>
            </w:r>
          </w:p>
        </w:tc>
      </w:tr>
      <w:tr w:rsidR="00B462DE" w:rsidRPr="00A71E23" w14:paraId="1DB49C41" w14:textId="77777777" w:rsidTr="007B0EC3">
        <w:tc>
          <w:tcPr>
            <w:tcW w:w="2779" w:type="dxa"/>
          </w:tcPr>
          <w:p w14:paraId="32F00F69" w14:textId="77777777" w:rsidR="007B0EC3" w:rsidRPr="00A71E23" w:rsidRDefault="007B0EC3" w:rsidP="00DD13A7">
            <w:pPr>
              <w:rPr>
                <w:b/>
              </w:rPr>
            </w:pPr>
            <w:r w:rsidRPr="00A71E23">
              <w:rPr>
                <w:b/>
              </w:rPr>
              <w:t>Institutional Research</w:t>
            </w:r>
          </w:p>
        </w:tc>
        <w:tc>
          <w:tcPr>
            <w:tcW w:w="4512" w:type="dxa"/>
          </w:tcPr>
          <w:p w14:paraId="3E8C0C0E" w14:textId="47130F05" w:rsidR="007B0EC3" w:rsidRPr="00A71E23" w:rsidRDefault="007B0EC3" w:rsidP="007B0EC3">
            <w:pPr>
              <w:pStyle w:val="ListParagraph"/>
              <w:numPr>
                <w:ilvl w:val="0"/>
                <w:numId w:val="22"/>
              </w:numPr>
              <w:ind w:left="438"/>
            </w:pPr>
            <w:r w:rsidRPr="00A71E23">
              <w:t>Update Faculty Activity Report so that the teaching section allows faculty to document their use of evidence-based teaching</w:t>
            </w:r>
          </w:p>
        </w:tc>
        <w:tc>
          <w:tcPr>
            <w:tcW w:w="2059" w:type="dxa"/>
          </w:tcPr>
          <w:p w14:paraId="1DB757EB" w14:textId="16D4B3C1" w:rsidR="007B0EC3" w:rsidRPr="00A71E23" w:rsidRDefault="007B0EC3" w:rsidP="00B462DE">
            <w:r w:rsidRPr="00A71E23">
              <w:t>Action Step #2, Task #</w:t>
            </w:r>
            <w:r w:rsidR="00B462DE">
              <w:t>5</w:t>
            </w:r>
          </w:p>
        </w:tc>
      </w:tr>
      <w:tr w:rsidR="00B462DE" w:rsidRPr="00A71E23" w14:paraId="400B6F30" w14:textId="77777777" w:rsidTr="007B0EC3">
        <w:tc>
          <w:tcPr>
            <w:tcW w:w="2779" w:type="dxa"/>
          </w:tcPr>
          <w:p w14:paraId="34DB20D6" w14:textId="77777777" w:rsidR="007B0EC3" w:rsidRPr="00A71E23" w:rsidRDefault="007B0EC3" w:rsidP="00DD13A7">
            <w:pPr>
              <w:rPr>
                <w:b/>
              </w:rPr>
            </w:pPr>
          </w:p>
        </w:tc>
        <w:tc>
          <w:tcPr>
            <w:tcW w:w="4512" w:type="dxa"/>
          </w:tcPr>
          <w:p w14:paraId="5587868F" w14:textId="55E3CF88" w:rsidR="007B0EC3" w:rsidRPr="00A71E23" w:rsidRDefault="007B0EC3" w:rsidP="00B462DE">
            <w:pPr>
              <w:pStyle w:val="ListParagraph"/>
              <w:numPr>
                <w:ilvl w:val="0"/>
                <w:numId w:val="22"/>
              </w:numPr>
              <w:ind w:left="438"/>
            </w:pPr>
            <w:r w:rsidRPr="00A71E23">
              <w:t xml:space="preserve">Update </w:t>
            </w:r>
            <w:r w:rsidR="00B462DE">
              <w:t>Faculty Activity Report</w:t>
            </w:r>
            <w:r w:rsidRPr="00A71E23">
              <w:t xml:space="preserve"> so that mentored student research can be highlighted </w:t>
            </w:r>
          </w:p>
        </w:tc>
        <w:tc>
          <w:tcPr>
            <w:tcW w:w="2059" w:type="dxa"/>
          </w:tcPr>
          <w:p w14:paraId="4B420D77" w14:textId="4FCA4DDE" w:rsidR="007B0EC3" w:rsidRPr="00A71E23" w:rsidRDefault="007B0EC3" w:rsidP="00B462DE">
            <w:r w:rsidRPr="00A71E23">
              <w:t>Action Step #3, Task #</w:t>
            </w:r>
            <w:r w:rsidR="00B462DE">
              <w:t>4</w:t>
            </w:r>
          </w:p>
        </w:tc>
      </w:tr>
      <w:tr w:rsidR="00B462DE" w:rsidRPr="00A71E23" w14:paraId="31736F86" w14:textId="77777777" w:rsidTr="007B0EC3">
        <w:tc>
          <w:tcPr>
            <w:tcW w:w="2779" w:type="dxa"/>
          </w:tcPr>
          <w:p w14:paraId="11B55FEE" w14:textId="0622DB91" w:rsidR="007B0EC3" w:rsidRPr="00A71E23" w:rsidRDefault="007B0EC3" w:rsidP="00DD13A7">
            <w:pPr>
              <w:rPr>
                <w:b/>
              </w:rPr>
            </w:pPr>
            <w:r w:rsidRPr="00A71E23">
              <w:rPr>
                <w:b/>
              </w:rPr>
              <w:t>One academic department</w:t>
            </w:r>
          </w:p>
        </w:tc>
        <w:tc>
          <w:tcPr>
            <w:tcW w:w="4512" w:type="dxa"/>
          </w:tcPr>
          <w:p w14:paraId="762DD89E" w14:textId="77777777" w:rsidR="007B0EC3" w:rsidRPr="00A71E23" w:rsidRDefault="007B0EC3" w:rsidP="007B0EC3">
            <w:pPr>
              <w:pStyle w:val="ListParagraph"/>
              <w:numPr>
                <w:ilvl w:val="0"/>
                <w:numId w:val="23"/>
              </w:numPr>
              <w:ind w:left="438"/>
            </w:pPr>
            <w:r w:rsidRPr="00A71E23">
              <w:t>Appoint faculty member with at least .5 FTE to oversee campus-wide efforts for undergrad research</w:t>
            </w:r>
          </w:p>
        </w:tc>
        <w:tc>
          <w:tcPr>
            <w:tcW w:w="2059" w:type="dxa"/>
          </w:tcPr>
          <w:p w14:paraId="57DC1737" w14:textId="77777777" w:rsidR="007B0EC3" w:rsidRPr="00A71E23" w:rsidRDefault="007B0EC3" w:rsidP="00DD13A7">
            <w:r w:rsidRPr="00A71E23">
              <w:t>Action Step #3, Task #1</w:t>
            </w:r>
          </w:p>
        </w:tc>
      </w:tr>
      <w:tr w:rsidR="00B462DE" w:rsidRPr="00A71E23" w14:paraId="426285E8" w14:textId="77777777" w:rsidTr="007B0EC3">
        <w:tc>
          <w:tcPr>
            <w:tcW w:w="2779" w:type="dxa"/>
          </w:tcPr>
          <w:p w14:paraId="348A39A7" w14:textId="77777777" w:rsidR="007B0EC3" w:rsidRPr="00A71E23" w:rsidRDefault="007B0EC3" w:rsidP="00DD13A7">
            <w:pPr>
              <w:rPr>
                <w:b/>
              </w:rPr>
            </w:pPr>
            <w:r w:rsidRPr="00A71E23">
              <w:rPr>
                <w:b/>
              </w:rPr>
              <w:t>Advisory Council (all academic departments, CTL, ORSP, Library, Honors)</w:t>
            </w:r>
          </w:p>
        </w:tc>
        <w:tc>
          <w:tcPr>
            <w:tcW w:w="4512" w:type="dxa"/>
          </w:tcPr>
          <w:p w14:paraId="35D28A92" w14:textId="351D25D0" w:rsidR="007B0EC3" w:rsidRPr="00A71E23" w:rsidRDefault="00B462DE" w:rsidP="00B462DE">
            <w:pPr>
              <w:pStyle w:val="ListParagraph"/>
              <w:numPr>
                <w:ilvl w:val="0"/>
                <w:numId w:val="24"/>
              </w:numPr>
              <w:ind w:left="438"/>
            </w:pPr>
            <w:r>
              <w:t>I</w:t>
            </w:r>
            <w:r w:rsidR="007B0EC3" w:rsidRPr="00A71E23">
              <w:t>ntegrate efforts across campus for student research</w:t>
            </w:r>
          </w:p>
        </w:tc>
        <w:tc>
          <w:tcPr>
            <w:tcW w:w="2059" w:type="dxa"/>
          </w:tcPr>
          <w:p w14:paraId="691AC0C7" w14:textId="77777777" w:rsidR="007B0EC3" w:rsidRPr="00A71E23" w:rsidRDefault="007B0EC3" w:rsidP="00DD13A7">
            <w:r w:rsidRPr="00A71E23">
              <w:t>Action Step #3, Task #2</w:t>
            </w:r>
          </w:p>
        </w:tc>
      </w:tr>
      <w:tr w:rsidR="00B462DE" w:rsidRPr="00A71E23" w14:paraId="1991AB65" w14:textId="77777777" w:rsidTr="007B0EC3">
        <w:tc>
          <w:tcPr>
            <w:tcW w:w="2779" w:type="dxa"/>
          </w:tcPr>
          <w:p w14:paraId="58B7F989" w14:textId="77777777" w:rsidR="007B0EC3" w:rsidRPr="00A71E23" w:rsidRDefault="007B0EC3" w:rsidP="00DD13A7">
            <w:pPr>
              <w:rPr>
                <w:b/>
              </w:rPr>
            </w:pPr>
          </w:p>
        </w:tc>
        <w:tc>
          <w:tcPr>
            <w:tcW w:w="4512" w:type="dxa"/>
          </w:tcPr>
          <w:p w14:paraId="24ECD7F6" w14:textId="1DF9E349" w:rsidR="007B0EC3" w:rsidRPr="00A71E23" w:rsidRDefault="00B462DE" w:rsidP="00B462DE">
            <w:pPr>
              <w:pStyle w:val="ListParagraph"/>
              <w:numPr>
                <w:ilvl w:val="0"/>
                <w:numId w:val="24"/>
              </w:numPr>
              <w:ind w:left="438"/>
            </w:pPr>
            <w:r>
              <w:t>Work with CTL to d</w:t>
            </w:r>
            <w:r w:rsidR="007B0EC3" w:rsidRPr="00A71E23">
              <w:t>evelop PD series re: best practices in mentoring students in research</w:t>
            </w:r>
          </w:p>
        </w:tc>
        <w:tc>
          <w:tcPr>
            <w:tcW w:w="2059" w:type="dxa"/>
          </w:tcPr>
          <w:p w14:paraId="2D25AE04" w14:textId="77777777" w:rsidR="007B0EC3" w:rsidRPr="00A71E23" w:rsidRDefault="007B0EC3" w:rsidP="00DD13A7">
            <w:r w:rsidRPr="00A71E23">
              <w:t>Action Step #3, Task #3</w:t>
            </w:r>
          </w:p>
        </w:tc>
      </w:tr>
      <w:tr w:rsidR="00B462DE" w:rsidRPr="00A71E23" w14:paraId="2BD44043" w14:textId="77777777" w:rsidTr="007B0EC3">
        <w:tc>
          <w:tcPr>
            <w:tcW w:w="2779" w:type="dxa"/>
          </w:tcPr>
          <w:p w14:paraId="0468F04D" w14:textId="77777777" w:rsidR="007B0EC3" w:rsidRPr="00A71E23" w:rsidRDefault="007B0EC3" w:rsidP="00DD13A7">
            <w:pPr>
              <w:rPr>
                <w:b/>
              </w:rPr>
            </w:pPr>
          </w:p>
        </w:tc>
        <w:tc>
          <w:tcPr>
            <w:tcW w:w="4512" w:type="dxa"/>
          </w:tcPr>
          <w:p w14:paraId="48D76CB3" w14:textId="002C1A24" w:rsidR="007B0EC3" w:rsidRPr="00A71E23" w:rsidRDefault="007B0EC3" w:rsidP="004A1962">
            <w:pPr>
              <w:pStyle w:val="ListParagraph"/>
              <w:numPr>
                <w:ilvl w:val="0"/>
                <w:numId w:val="24"/>
              </w:numPr>
              <w:ind w:left="438"/>
            </w:pPr>
            <w:r w:rsidRPr="00A71E23">
              <w:t>Develop specific programming</w:t>
            </w:r>
            <w:r w:rsidR="00B462DE">
              <w:t xml:space="preserve">, </w:t>
            </w:r>
            <w:r w:rsidRPr="00A71E23">
              <w:t>procedures</w:t>
            </w:r>
            <w:r w:rsidR="00B462DE">
              <w:t xml:space="preserve">,  and/or </w:t>
            </w:r>
            <w:r w:rsidRPr="00A71E23">
              <w:t>processes for funding allocation</w:t>
            </w:r>
          </w:p>
        </w:tc>
        <w:tc>
          <w:tcPr>
            <w:tcW w:w="2059" w:type="dxa"/>
          </w:tcPr>
          <w:p w14:paraId="0B71E7BF" w14:textId="27DF56BF" w:rsidR="007B0EC3" w:rsidRPr="00A71E23" w:rsidRDefault="007B0EC3" w:rsidP="00B462DE">
            <w:r w:rsidRPr="00A71E23">
              <w:t>Action Step #3, Task #</w:t>
            </w:r>
            <w:r w:rsidR="00B462DE">
              <w:t>5</w:t>
            </w:r>
          </w:p>
        </w:tc>
      </w:tr>
      <w:tr w:rsidR="00B462DE" w:rsidRPr="00A71E23" w14:paraId="03B9A6EF" w14:textId="77777777" w:rsidTr="007B0EC3">
        <w:tc>
          <w:tcPr>
            <w:tcW w:w="2779" w:type="dxa"/>
          </w:tcPr>
          <w:p w14:paraId="08B214D3" w14:textId="77777777" w:rsidR="007B0EC3" w:rsidRPr="00A71E23" w:rsidRDefault="007B0EC3" w:rsidP="00DD13A7">
            <w:pPr>
              <w:rPr>
                <w:b/>
              </w:rPr>
            </w:pPr>
          </w:p>
        </w:tc>
        <w:tc>
          <w:tcPr>
            <w:tcW w:w="4512" w:type="dxa"/>
          </w:tcPr>
          <w:p w14:paraId="32D584E5" w14:textId="77777777" w:rsidR="007B0EC3" w:rsidRPr="00A71E23" w:rsidRDefault="007B0EC3" w:rsidP="007B0EC3">
            <w:pPr>
              <w:pStyle w:val="ListParagraph"/>
              <w:numPr>
                <w:ilvl w:val="0"/>
                <w:numId w:val="24"/>
              </w:numPr>
              <w:ind w:left="438"/>
            </w:pPr>
            <w:r w:rsidRPr="00A71E23">
              <w:t>Develop initial standards and application procedures for RI courses</w:t>
            </w:r>
          </w:p>
        </w:tc>
        <w:tc>
          <w:tcPr>
            <w:tcW w:w="2059" w:type="dxa"/>
          </w:tcPr>
          <w:p w14:paraId="44581F68" w14:textId="3FB0A843" w:rsidR="007B0EC3" w:rsidRPr="00A71E23" w:rsidRDefault="007B0EC3" w:rsidP="004A1962">
            <w:r w:rsidRPr="00A71E23">
              <w:t>Action Step #3, Task #</w:t>
            </w:r>
            <w:r w:rsidR="004A1962">
              <w:t>6</w:t>
            </w:r>
          </w:p>
        </w:tc>
      </w:tr>
      <w:tr w:rsidR="00B462DE" w:rsidRPr="00A71E23" w14:paraId="6329DDF1" w14:textId="77777777" w:rsidTr="007B0EC3">
        <w:tc>
          <w:tcPr>
            <w:tcW w:w="2779" w:type="dxa"/>
          </w:tcPr>
          <w:p w14:paraId="0445E39D" w14:textId="77777777" w:rsidR="007B0EC3" w:rsidRPr="00A71E23" w:rsidRDefault="007B0EC3" w:rsidP="00DD13A7">
            <w:pPr>
              <w:rPr>
                <w:b/>
              </w:rPr>
            </w:pPr>
            <w:r w:rsidRPr="00A71E23">
              <w:rPr>
                <w:b/>
              </w:rPr>
              <w:t>Honors College</w:t>
            </w:r>
          </w:p>
        </w:tc>
        <w:tc>
          <w:tcPr>
            <w:tcW w:w="4512" w:type="dxa"/>
          </w:tcPr>
          <w:p w14:paraId="0839A7C6" w14:textId="025F078D" w:rsidR="007B0EC3" w:rsidRPr="00A71E23" w:rsidRDefault="004A1962" w:rsidP="004A1962">
            <w:pPr>
              <w:pStyle w:val="ListParagraph"/>
              <w:numPr>
                <w:ilvl w:val="0"/>
                <w:numId w:val="25"/>
              </w:numPr>
              <w:ind w:left="438"/>
            </w:pPr>
            <w:r>
              <w:t xml:space="preserve">Appoint a staff member to </w:t>
            </w:r>
            <w:r w:rsidR="007B0EC3" w:rsidRPr="00A71E23">
              <w:t xml:space="preserve">Advisory Council </w:t>
            </w:r>
          </w:p>
        </w:tc>
        <w:tc>
          <w:tcPr>
            <w:tcW w:w="2059" w:type="dxa"/>
          </w:tcPr>
          <w:p w14:paraId="26E61113" w14:textId="77777777" w:rsidR="007B0EC3" w:rsidRPr="00A71E23" w:rsidRDefault="007B0EC3" w:rsidP="00DD13A7">
            <w:r w:rsidRPr="00A71E23">
              <w:t>Action Step #3, Task #2</w:t>
            </w:r>
          </w:p>
        </w:tc>
      </w:tr>
    </w:tbl>
    <w:p w14:paraId="201A2929" w14:textId="77777777" w:rsidR="007B0EC3" w:rsidRDefault="007B0EC3" w:rsidP="007B0EC3">
      <w:pPr>
        <w:pStyle w:val="NormalWeb"/>
        <w:spacing w:before="0" w:beforeAutospacing="0" w:after="0" w:afterAutospacing="0"/>
        <w:rPr>
          <w:rFonts w:asciiTheme="minorHAnsi" w:hAnsiTheme="minorHAnsi"/>
          <w:color w:val="000000"/>
          <w:sz w:val="22"/>
          <w:szCs w:val="22"/>
        </w:rPr>
      </w:pPr>
    </w:p>
    <w:p w14:paraId="5643B258" w14:textId="7E1DC483" w:rsidR="00A30A75" w:rsidRDefault="00A30A75">
      <w:pPr>
        <w:rPr>
          <w:rFonts w:eastAsia="Times New Roman" w:cs="Times New Roman"/>
          <w:color w:val="000000"/>
        </w:rPr>
      </w:pPr>
      <w:r>
        <w:rPr>
          <w:color w:val="000000"/>
        </w:rPr>
        <w:br w:type="page"/>
      </w:r>
    </w:p>
    <w:p w14:paraId="311A371C" w14:textId="53942311" w:rsidR="00A30A75" w:rsidRPr="00856862" w:rsidRDefault="00A30A75" w:rsidP="00A30A75">
      <w:pPr>
        <w:spacing w:before="100" w:beforeAutospacing="1" w:after="100" w:afterAutospacing="1" w:line="240" w:lineRule="auto"/>
        <w:jc w:val="center"/>
        <w:rPr>
          <w:rFonts w:eastAsia="Times New Roman" w:cstheme="minorHAnsi"/>
          <w:b/>
          <w:sz w:val="28"/>
        </w:rPr>
      </w:pPr>
      <w:r w:rsidRPr="00856862">
        <w:rPr>
          <w:rFonts w:eastAsia="Times New Roman" w:cstheme="minorHAnsi"/>
          <w:b/>
          <w:sz w:val="28"/>
        </w:rPr>
        <w:lastRenderedPageBreak/>
        <w:t>Appendix D: RI Designations for Courses</w:t>
      </w:r>
    </w:p>
    <w:p w14:paraId="55C0ECEF" w14:textId="77777777" w:rsidR="00A30A75" w:rsidRPr="00A30A75" w:rsidRDefault="00A30A75" w:rsidP="00A30A75">
      <w:pPr>
        <w:spacing w:before="100" w:beforeAutospacing="1" w:after="100" w:afterAutospacing="1" w:line="240" w:lineRule="auto"/>
        <w:rPr>
          <w:rFonts w:eastAsia="Times New Roman" w:cstheme="minorHAnsi"/>
        </w:rPr>
      </w:pPr>
      <w:r w:rsidRPr="00A30A75">
        <w:rPr>
          <w:rFonts w:eastAsia="Times New Roman" w:cstheme="minorHAnsi"/>
        </w:rPr>
        <w:t xml:space="preserve">The team acknowledges that what constitutes "research intensive" can vary substantially from one discipline to another. What follows are possible criteria for determining which course offerings will qualify for RI </w:t>
      </w:r>
      <w:proofErr w:type="gramStart"/>
      <w:r w:rsidRPr="00A30A75">
        <w:rPr>
          <w:rFonts w:eastAsia="Times New Roman" w:cstheme="minorHAnsi"/>
        </w:rPr>
        <w:t>designation.</w:t>
      </w:r>
      <w:proofErr w:type="gramEnd"/>
      <w:r w:rsidRPr="00A30A75">
        <w:rPr>
          <w:rFonts w:eastAsia="Times New Roman" w:cstheme="minorHAnsi"/>
        </w:rPr>
        <w:t xml:space="preserve"> </w:t>
      </w:r>
    </w:p>
    <w:p w14:paraId="654E7CC4" w14:textId="77777777" w:rsidR="00A30A75" w:rsidRPr="00A30A75" w:rsidRDefault="00A30A75" w:rsidP="00A30A75">
      <w:pPr>
        <w:spacing w:before="100" w:beforeAutospacing="1" w:after="100" w:afterAutospacing="1" w:line="240" w:lineRule="auto"/>
        <w:rPr>
          <w:rFonts w:eastAsia="Times New Roman" w:cstheme="minorHAnsi"/>
        </w:rPr>
      </w:pPr>
      <w:r w:rsidRPr="00A30A75">
        <w:rPr>
          <w:rFonts w:eastAsia="Times New Roman" w:cstheme="minorHAnsi"/>
        </w:rPr>
        <w:t xml:space="preserve">To qualify for the RI designation, a course syllabus might include the following Student Learning Outcomes (SLOs): </w:t>
      </w:r>
    </w:p>
    <w:p w14:paraId="0F155348" w14:textId="71C46E5B" w:rsidR="00A30A75" w:rsidRPr="00A30A75" w:rsidRDefault="00A30A75" w:rsidP="00A30A75">
      <w:pPr>
        <w:pStyle w:val="ListParagraph"/>
        <w:numPr>
          <w:ilvl w:val="0"/>
          <w:numId w:val="27"/>
        </w:numPr>
        <w:spacing w:before="100" w:beforeAutospacing="1" w:after="100" w:afterAutospacing="1" w:line="240" w:lineRule="auto"/>
        <w:rPr>
          <w:rFonts w:eastAsia="Times New Roman" w:cstheme="minorHAnsi"/>
        </w:rPr>
      </w:pPr>
      <w:r w:rsidRPr="00A30A75">
        <w:rPr>
          <w:rFonts w:eastAsia="Times New Roman" w:cstheme="minorHAnsi"/>
        </w:rPr>
        <w:t xml:space="preserve">Students will understand how knowledge is generated and evaluated in the discipline. </w:t>
      </w:r>
    </w:p>
    <w:p w14:paraId="4028B019" w14:textId="51375B1F" w:rsidR="00A30A75" w:rsidRPr="00A30A75" w:rsidRDefault="00A30A75" w:rsidP="00A30A75">
      <w:pPr>
        <w:pStyle w:val="ListParagraph"/>
        <w:numPr>
          <w:ilvl w:val="0"/>
          <w:numId w:val="27"/>
        </w:numPr>
        <w:spacing w:before="100" w:beforeAutospacing="1" w:after="100" w:afterAutospacing="1" w:line="240" w:lineRule="auto"/>
        <w:rPr>
          <w:rFonts w:eastAsia="Times New Roman" w:cstheme="minorHAnsi"/>
        </w:rPr>
      </w:pPr>
      <w:r w:rsidRPr="00A30A75">
        <w:rPr>
          <w:rFonts w:eastAsia="Times New Roman" w:cstheme="minorHAnsi"/>
        </w:rPr>
        <w:t xml:space="preserve">Students will formulate a research question or creative problem as appropriate for the discipline and course level. </w:t>
      </w:r>
    </w:p>
    <w:p w14:paraId="73F878BC" w14:textId="33616624" w:rsidR="00A30A75" w:rsidRPr="00A30A75" w:rsidRDefault="00A30A75" w:rsidP="00A30A75">
      <w:pPr>
        <w:pStyle w:val="ListParagraph"/>
        <w:numPr>
          <w:ilvl w:val="0"/>
          <w:numId w:val="27"/>
        </w:numPr>
        <w:spacing w:before="100" w:beforeAutospacing="1" w:after="100" w:afterAutospacing="1" w:line="240" w:lineRule="auto"/>
        <w:rPr>
          <w:rFonts w:eastAsia="Times New Roman" w:cstheme="minorHAnsi"/>
        </w:rPr>
      </w:pPr>
      <w:r w:rsidRPr="00A30A75">
        <w:rPr>
          <w:rFonts w:eastAsia="Times New Roman" w:cstheme="minorHAnsi"/>
        </w:rPr>
        <w:t xml:space="preserve">Students will develop and implement a discipline appropriate plan of action, methodology, or analytical framework to investigate the question/problem. </w:t>
      </w:r>
    </w:p>
    <w:p w14:paraId="1E3CB358" w14:textId="60423F59" w:rsidR="00A30A75" w:rsidRPr="00A30A75" w:rsidRDefault="00A30A75" w:rsidP="00A30A75">
      <w:pPr>
        <w:pStyle w:val="ListParagraph"/>
        <w:numPr>
          <w:ilvl w:val="0"/>
          <w:numId w:val="27"/>
        </w:numPr>
        <w:spacing w:before="100" w:beforeAutospacing="1" w:after="100" w:afterAutospacing="1" w:line="240" w:lineRule="auto"/>
        <w:rPr>
          <w:rFonts w:eastAsia="Times New Roman" w:cstheme="minorHAnsi"/>
        </w:rPr>
      </w:pPr>
      <w:r w:rsidRPr="00A30A75">
        <w:rPr>
          <w:rFonts w:eastAsia="Times New Roman" w:cstheme="minorHAnsi"/>
        </w:rPr>
        <w:t xml:space="preserve">Students will identify and follow ethical principles throughout the inquiry process. </w:t>
      </w:r>
    </w:p>
    <w:p w14:paraId="19B8F1F1" w14:textId="69EFB483" w:rsidR="00A30A75" w:rsidRPr="00A30A75" w:rsidRDefault="00A30A75" w:rsidP="00A30A75">
      <w:pPr>
        <w:pStyle w:val="ListParagraph"/>
        <w:numPr>
          <w:ilvl w:val="0"/>
          <w:numId w:val="27"/>
        </w:numPr>
        <w:spacing w:before="100" w:beforeAutospacing="1" w:after="100" w:afterAutospacing="1" w:line="240" w:lineRule="auto"/>
        <w:rPr>
          <w:rFonts w:eastAsia="Times New Roman" w:cstheme="minorHAnsi"/>
        </w:rPr>
      </w:pPr>
      <w:r w:rsidRPr="00A30A75">
        <w:rPr>
          <w:rFonts w:eastAsia="Times New Roman" w:cstheme="minorHAnsi"/>
        </w:rPr>
        <w:t xml:space="preserve">Students will communicate their findings or creative contribution in discipline appropriate formats and venues for a defined audience. </w:t>
      </w:r>
    </w:p>
    <w:p w14:paraId="5708E108" w14:textId="77777777" w:rsidR="00A30A75" w:rsidRPr="00A30A75" w:rsidRDefault="00A30A75" w:rsidP="007B0EC3">
      <w:pPr>
        <w:pStyle w:val="NormalWeb"/>
        <w:spacing w:before="0" w:beforeAutospacing="0" w:after="0" w:afterAutospacing="0"/>
        <w:rPr>
          <w:rFonts w:asciiTheme="minorHAnsi" w:hAnsiTheme="minorHAnsi"/>
          <w:color w:val="000000"/>
          <w:sz w:val="22"/>
          <w:szCs w:val="22"/>
        </w:rPr>
      </w:pPr>
    </w:p>
    <w:sectPr w:rsidR="00A30A75" w:rsidRPr="00A30A75" w:rsidSect="001D7F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FD70F" w14:textId="77777777" w:rsidR="00AA08C7" w:rsidRDefault="00AA08C7" w:rsidP="00F668A7">
      <w:pPr>
        <w:spacing w:after="0" w:line="240" w:lineRule="auto"/>
      </w:pPr>
      <w:r>
        <w:separator/>
      </w:r>
    </w:p>
  </w:endnote>
  <w:endnote w:type="continuationSeparator" w:id="0">
    <w:p w14:paraId="3191B285" w14:textId="77777777" w:rsidR="00AA08C7" w:rsidRDefault="00AA08C7" w:rsidP="00F6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735408"/>
      <w:docPartObj>
        <w:docPartGallery w:val="Page Numbers (Bottom of Page)"/>
        <w:docPartUnique/>
      </w:docPartObj>
    </w:sdtPr>
    <w:sdtEndPr>
      <w:rPr>
        <w:noProof/>
      </w:rPr>
    </w:sdtEndPr>
    <w:sdtContent>
      <w:p w14:paraId="1A8FD326" w14:textId="7D153383" w:rsidR="00DD13A7" w:rsidRDefault="00DD13A7" w:rsidP="5A375D84">
        <w:pPr>
          <w:pStyle w:val="Footer"/>
          <w:jc w:val="right"/>
        </w:pPr>
        <w:r>
          <w:fldChar w:fldCharType="begin"/>
        </w:r>
        <w:r>
          <w:instrText xml:space="preserve"> PAGE   \* MERGEFORMAT </w:instrText>
        </w:r>
        <w:r>
          <w:fldChar w:fldCharType="separate"/>
        </w:r>
        <w:r w:rsidR="00856862">
          <w:rPr>
            <w:noProof/>
          </w:rPr>
          <w:t>12</w:t>
        </w:r>
        <w:r>
          <w:rPr>
            <w:noProof/>
          </w:rPr>
          <w:fldChar w:fldCharType="end"/>
        </w:r>
      </w:p>
    </w:sdtContent>
  </w:sdt>
  <w:p w14:paraId="36F8AF07" w14:textId="101F4467" w:rsidR="00DD13A7" w:rsidRDefault="00DD1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C645" w14:textId="77777777" w:rsidR="00AA08C7" w:rsidRDefault="00AA08C7" w:rsidP="00F668A7">
      <w:pPr>
        <w:spacing w:after="0" w:line="240" w:lineRule="auto"/>
      </w:pPr>
      <w:r>
        <w:separator/>
      </w:r>
    </w:p>
  </w:footnote>
  <w:footnote w:type="continuationSeparator" w:id="0">
    <w:p w14:paraId="731A2700" w14:textId="77777777" w:rsidR="00AA08C7" w:rsidRDefault="00AA08C7" w:rsidP="00F668A7">
      <w:pPr>
        <w:spacing w:after="0" w:line="240" w:lineRule="auto"/>
      </w:pPr>
      <w:r>
        <w:continuationSeparator/>
      </w:r>
    </w:p>
  </w:footnote>
  <w:footnote w:id="1">
    <w:p w14:paraId="54D462FA" w14:textId="6ED00E1D" w:rsidR="00DD13A7" w:rsidRPr="007E28DD" w:rsidRDefault="00DD13A7">
      <w:pPr>
        <w:pStyle w:val="FootnoteText"/>
        <w:rPr>
          <w:sz w:val="18"/>
          <w:szCs w:val="18"/>
        </w:rPr>
      </w:pPr>
      <w:r w:rsidRPr="00FE7E72">
        <w:rPr>
          <w:rStyle w:val="FootnoteReference"/>
          <w:sz w:val="18"/>
          <w:szCs w:val="18"/>
        </w:rPr>
        <w:footnoteRef/>
      </w:r>
      <w:r w:rsidRPr="00FE7E72">
        <w:rPr>
          <w:sz w:val="18"/>
          <w:szCs w:val="18"/>
        </w:rPr>
        <w:t xml:space="preserve"> Contributing team members include Dr. Lauren Brewer (Psychology), Dr. Cala Coats (Art), Dr. Randi Cox (History), Dr. Jennifer Gumm (Biology), Dr. Shelby Laird (Forestry), Dr. Anjum Najmi (Library), </w:t>
      </w:r>
      <w:r w:rsidRPr="007E28DD">
        <w:rPr>
          <w:sz w:val="18"/>
          <w:szCs w:val="18"/>
        </w:rPr>
        <w:t>Dr. Heather Olson Beal (Secondary Education &amp; Educational Leadership), Dr. Nikki Shoemaker (Accounting), Mary Smith (Center for Teaching &amp; Learning, Team Lead), and Megan Weatherly (Center for Teaching &amp; Learning).</w:t>
      </w:r>
    </w:p>
  </w:footnote>
  <w:footnote w:id="2">
    <w:p w14:paraId="6440D490" w14:textId="52901849" w:rsidR="00DD13A7" w:rsidRPr="007E28DD" w:rsidRDefault="00DD13A7">
      <w:pPr>
        <w:pStyle w:val="FootnoteText"/>
        <w:rPr>
          <w:sz w:val="18"/>
          <w:szCs w:val="18"/>
        </w:rPr>
      </w:pPr>
      <w:r w:rsidRPr="007E28DD">
        <w:rPr>
          <w:rStyle w:val="FootnoteReference"/>
          <w:sz w:val="18"/>
          <w:szCs w:val="18"/>
        </w:rPr>
        <w:footnoteRef/>
      </w:r>
      <w:r w:rsidRPr="007E28DD">
        <w:rPr>
          <w:sz w:val="18"/>
          <w:szCs w:val="18"/>
        </w:rPr>
        <w:t xml:space="preserve"> Strategy #1 was presented in January 2016, and implementation is underway. For more information, please refer to the </w:t>
      </w:r>
      <w:hyperlink r:id="rId1" w:history="1">
        <w:r w:rsidRPr="007E28DD">
          <w:rPr>
            <w:rStyle w:val="Hyperlink"/>
            <w:sz w:val="18"/>
            <w:szCs w:val="18"/>
          </w:rPr>
          <w:t>details in the Strategy #1 document</w:t>
        </w:r>
      </w:hyperlink>
      <w:r w:rsidRPr="007E28DD">
        <w:rPr>
          <w:sz w:val="18"/>
          <w:szCs w:val="18"/>
        </w:rPr>
        <w:t>.</w:t>
      </w:r>
    </w:p>
  </w:footnote>
  <w:footnote w:id="3">
    <w:p w14:paraId="0BFD1DDC" w14:textId="6F95E846" w:rsidR="00DD13A7" w:rsidRDefault="00DD13A7">
      <w:pPr>
        <w:pStyle w:val="FootnoteText"/>
      </w:pPr>
      <w:r w:rsidRPr="007E28DD">
        <w:rPr>
          <w:rStyle w:val="FootnoteReference"/>
          <w:sz w:val="18"/>
          <w:szCs w:val="18"/>
        </w:rPr>
        <w:footnoteRef/>
      </w:r>
      <w:r w:rsidRPr="007E28DD">
        <w:rPr>
          <w:sz w:val="18"/>
          <w:szCs w:val="18"/>
        </w:rPr>
        <w:t xml:space="preserve"> Strategy #2 is currently awaiting review by an ad-hoc review team to continue advancing through the strategic planning process.</w:t>
      </w:r>
    </w:p>
  </w:footnote>
  <w:footnote w:id="4">
    <w:p w14:paraId="585B8D10" w14:textId="4827149B" w:rsidR="00DD13A7" w:rsidRPr="000A0662" w:rsidRDefault="00DD13A7">
      <w:pPr>
        <w:rPr>
          <w:rFonts w:eastAsiaTheme="minorEastAsia" w:cstheme="minorEastAsia"/>
          <w:sz w:val="18"/>
          <w:szCs w:val="18"/>
        </w:rPr>
      </w:pPr>
      <w:r w:rsidRPr="007E28DD">
        <w:rPr>
          <w:rStyle w:val="FootnoteReference"/>
          <w:sz w:val="18"/>
          <w:szCs w:val="18"/>
        </w:rPr>
        <w:footnoteRef/>
      </w:r>
      <w:r w:rsidRPr="007E28DD">
        <w:rPr>
          <w:sz w:val="18"/>
          <w:szCs w:val="18"/>
        </w:rPr>
        <w:t xml:space="preserve"> The TLA team recognizes that common </w:t>
      </w:r>
      <w:proofErr w:type="spellStart"/>
      <w:r w:rsidRPr="007E28DD">
        <w:rPr>
          <w:sz w:val="18"/>
          <w:szCs w:val="18"/>
        </w:rPr>
        <w:t>SoTL</w:t>
      </w:r>
      <w:proofErr w:type="spellEnd"/>
      <w:r w:rsidRPr="007E28DD">
        <w:rPr>
          <w:sz w:val="18"/>
          <w:szCs w:val="18"/>
        </w:rPr>
        <w:t xml:space="preserve"> research may vary between academic disciplines. However, the team considers the following to be a solid definition of </w:t>
      </w:r>
      <w:proofErr w:type="spellStart"/>
      <w:r w:rsidRPr="007E28DD">
        <w:rPr>
          <w:sz w:val="18"/>
          <w:szCs w:val="18"/>
        </w:rPr>
        <w:t>SoTL</w:t>
      </w:r>
      <w:proofErr w:type="spellEnd"/>
      <w:r w:rsidRPr="007E28DD">
        <w:rPr>
          <w:sz w:val="18"/>
          <w:szCs w:val="18"/>
        </w:rPr>
        <w:t>, as used in the work of the Carnegie Foundation: “[P]</w:t>
      </w:r>
      <w:proofErr w:type="spellStart"/>
      <w:r w:rsidRPr="007E28DD">
        <w:rPr>
          <w:sz w:val="18"/>
          <w:szCs w:val="18"/>
        </w:rPr>
        <w:t>roblem</w:t>
      </w:r>
      <w:proofErr w:type="spellEnd"/>
      <w:r w:rsidRPr="007E28DD">
        <w:rPr>
          <w:sz w:val="18"/>
          <w:szCs w:val="18"/>
        </w:rPr>
        <w:t xml:space="preserve"> posing about an issue of teaching or learning, study of the problem through methods appropriate to the disciplinary epistemologies, applications of results to practice, communication of results, self-reflection, and peer review.” For more information, see Cambridge, B. (2001). Fostering the Scholarship of Teaching and Learning: Communities of Practice. </w:t>
      </w:r>
      <w:r>
        <w:rPr>
          <w:sz w:val="18"/>
          <w:szCs w:val="18"/>
        </w:rPr>
        <w:t>I</w:t>
      </w:r>
      <w:r w:rsidRPr="007E28DD">
        <w:rPr>
          <w:sz w:val="18"/>
          <w:szCs w:val="18"/>
        </w:rPr>
        <w:t>n</w:t>
      </w:r>
      <w:r>
        <w:rPr>
          <w:sz w:val="18"/>
          <w:szCs w:val="18"/>
        </w:rPr>
        <w:t xml:space="preserve"> </w:t>
      </w:r>
      <w:r w:rsidRPr="007E28DD">
        <w:rPr>
          <w:sz w:val="18"/>
          <w:szCs w:val="18"/>
        </w:rPr>
        <w:t xml:space="preserve">D. Lieberman and C. </w:t>
      </w:r>
      <w:proofErr w:type="spellStart"/>
      <w:r w:rsidRPr="007E28DD">
        <w:rPr>
          <w:sz w:val="18"/>
          <w:szCs w:val="18"/>
        </w:rPr>
        <w:t>Wehlburg</w:t>
      </w:r>
      <w:proofErr w:type="spellEnd"/>
      <w:r w:rsidRPr="007E28DD">
        <w:rPr>
          <w:sz w:val="18"/>
          <w:szCs w:val="18"/>
        </w:rPr>
        <w:t xml:space="preserve">, Eds. </w:t>
      </w:r>
      <w:r w:rsidRPr="407926C2">
        <w:rPr>
          <w:i/>
          <w:iCs/>
          <w:sz w:val="18"/>
          <w:szCs w:val="18"/>
        </w:rPr>
        <w:t>To Improve the Academy</w:t>
      </w:r>
      <w:r>
        <w:rPr>
          <w:iCs/>
          <w:sz w:val="18"/>
          <w:szCs w:val="18"/>
        </w:rPr>
        <w:t xml:space="preserve"> (3-16)</w:t>
      </w:r>
      <w:r w:rsidRPr="007E28DD">
        <w:rPr>
          <w:sz w:val="18"/>
          <w:szCs w:val="18"/>
        </w:rPr>
        <w:t xml:space="preserve">. Bolton, MA: Anker. </w:t>
      </w:r>
      <w:r w:rsidRPr="000A0662">
        <w:rPr>
          <w:sz w:val="18"/>
          <w:szCs w:val="18"/>
        </w:rPr>
        <w:t xml:space="preserve">Others </w:t>
      </w:r>
      <w:r>
        <w:rPr>
          <w:sz w:val="18"/>
          <w:szCs w:val="18"/>
        </w:rPr>
        <w:t xml:space="preserve">define </w:t>
      </w:r>
      <w:proofErr w:type="spellStart"/>
      <w:r>
        <w:rPr>
          <w:sz w:val="18"/>
          <w:szCs w:val="18"/>
        </w:rPr>
        <w:t>SoTL</w:t>
      </w:r>
      <w:proofErr w:type="spellEnd"/>
      <w:r>
        <w:rPr>
          <w:sz w:val="18"/>
          <w:szCs w:val="18"/>
        </w:rPr>
        <w:t xml:space="preserve"> as</w:t>
      </w:r>
      <w:r w:rsidRPr="000A0662">
        <w:rPr>
          <w:sz w:val="18"/>
          <w:szCs w:val="18"/>
        </w:rPr>
        <w:t xml:space="preserve"> “</w:t>
      </w:r>
      <w:r>
        <w:rPr>
          <w:rFonts w:eastAsiaTheme="minorEastAsia" w:cstheme="minorEastAsia"/>
          <w:sz w:val="18"/>
          <w:szCs w:val="18"/>
        </w:rPr>
        <w:t>[t]</w:t>
      </w:r>
      <w:r w:rsidRPr="000A0662">
        <w:rPr>
          <w:rFonts w:eastAsiaTheme="minorEastAsia" w:cstheme="minorEastAsia"/>
          <w:sz w:val="18"/>
          <w:szCs w:val="18"/>
        </w:rPr>
        <w:t xml:space="preserve">he systematic study of teaching and learning, using established or validated criteria of scholarship, to understand how teaching (beliefs, </w:t>
      </w:r>
      <w:proofErr w:type="spellStart"/>
      <w:r w:rsidRPr="000A0662">
        <w:rPr>
          <w:rFonts w:eastAsiaTheme="minorEastAsia" w:cstheme="minorEastAsia"/>
          <w:sz w:val="18"/>
          <w:szCs w:val="18"/>
        </w:rPr>
        <w:t>behaviours</w:t>
      </w:r>
      <w:proofErr w:type="spellEnd"/>
      <w:r w:rsidRPr="000A0662">
        <w:rPr>
          <w:rFonts w:eastAsiaTheme="minorEastAsia" w:cstheme="minorEastAsia"/>
          <w:sz w:val="18"/>
          <w:szCs w:val="18"/>
        </w:rPr>
        <w:t>, attitudes, and values) can maximize learning, and/or develop a more accurate understanding of learning, resulting in products that are publicly shared for critique and use by an appropriate community.” For more information see Potter, M</w:t>
      </w:r>
      <w:r>
        <w:rPr>
          <w:rFonts w:eastAsiaTheme="minorEastAsia" w:cstheme="minorEastAsia"/>
          <w:sz w:val="18"/>
          <w:szCs w:val="18"/>
        </w:rPr>
        <w:t>.</w:t>
      </w:r>
      <w:r w:rsidRPr="000A0662">
        <w:rPr>
          <w:rFonts w:eastAsiaTheme="minorEastAsia" w:cstheme="minorEastAsia"/>
          <w:sz w:val="18"/>
          <w:szCs w:val="18"/>
        </w:rPr>
        <w:t xml:space="preserve"> K. and </w:t>
      </w:r>
      <w:proofErr w:type="spellStart"/>
      <w:r w:rsidRPr="000A0662">
        <w:rPr>
          <w:rFonts w:eastAsiaTheme="minorEastAsia" w:cstheme="minorEastAsia"/>
          <w:sz w:val="18"/>
          <w:szCs w:val="18"/>
        </w:rPr>
        <w:t>Kustra</w:t>
      </w:r>
      <w:proofErr w:type="spellEnd"/>
      <w:r w:rsidRPr="000A0662">
        <w:rPr>
          <w:rFonts w:eastAsiaTheme="minorEastAsia" w:cstheme="minorEastAsia"/>
          <w:sz w:val="18"/>
          <w:szCs w:val="18"/>
        </w:rPr>
        <w:t xml:space="preserve">, </w:t>
      </w:r>
      <w:r>
        <w:rPr>
          <w:rFonts w:eastAsiaTheme="minorEastAsia" w:cstheme="minorEastAsia"/>
          <w:sz w:val="18"/>
          <w:szCs w:val="18"/>
        </w:rPr>
        <w:t>E.</w:t>
      </w:r>
      <w:r w:rsidRPr="000A0662">
        <w:rPr>
          <w:rFonts w:eastAsiaTheme="minorEastAsia" w:cstheme="minorEastAsia"/>
          <w:sz w:val="18"/>
          <w:szCs w:val="18"/>
        </w:rPr>
        <w:t>D. (2011)</w:t>
      </w:r>
      <w:r>
        <w:rPr>
          <w:rFonts w:eastAsiaTheme="minorEastAsia" w:cstheme="minorEastAsia"/>
          <w:sz w:val="18"/>
          <w:szCs w:val="18"/>
        </w:rPr>
        <w:t>.</w:t>
      </w:r>
      <w:r w:rsidRPr="000A0662">
        <w:rPr>
          <w:rFonts w:eastAsiaTheme="minorEastAsia" w:cstheme="minorEastAsia"/>
          <w:sz w:val="18"/>
          <w:szCs w:val="18"/>
        </w:rPr>
        <w:t xml:space="preserve"> The Relationship between Scholarly Teaching and </w:t>
      </w:r>
      <w:proofErr w:type="spellStart"/>
      <w:r w:rsidRPr="000A0662">
        <w:rPr>
          <w:rFonts w:eastAsiaTheme="minorEastAsia" w:cstheme="minorEastAsia"/>
          <w:sz w:val="18"/>
          <w:szCs w:val="18"/>
        </w:rPr>
        <w:t>SoTL</w:t>
      </w:r>
      <w:proofErr w:type="spellEnd"/>
      <w:r w:rsidRPr="000A0662">
        <w:rPr>
          <w:rFonts w:eastAsiaTheme="minorEastAsia" w:cstheme="minorEastAsia"/>
          <w:sz w:val="18"/>
          <w:szCs w:val="18"/>
        </w:rPr>
        <w:t>: Models, Distinctions, and Clarifications</w:t>
      </w:r>
      <w:r>
        <w:rPr>
          <w:rFonts w:eastAsiaTheme="minorEastAsia" w:cstheme="minorEastAsia"/>
          <w:sz w:val="18"/>
          <w:szCs w:val="18"/>
        </w:rPr>
        <w:t>.</w:t>
      </w:r>
      <w:r w:rsidRPr="000A0662">
        <w:rPr>
          <w:rFonts w:eastAsiaTheme="minorEastAsia" w:cstheme="minorEastAsia"/>
          <w:sz w:val="18"/>
          <w:szCs w:val="18"/>
        </w:rPr>
        <w:t xml:space="preserve"> </w:t>
      </w:r>
      <w:r w:rsidRPr="000A0662">
        <w:rPr>
          <w:rFonts w:eastAsiaTheme="minorEastAsia" w:cstheme="minorEastAsia"/>
          <w:i/>
          <w:iCs/>
          <w:sz w:val="18"/>
          <w:szCs w:val="18"/>
        </w:rPr>
        <w:t>International Journal for the Scholarship of Teaching and Learning</w:t>
      </w:r>
      <w:r>
        <w:rPr>
          <w:rFonts w:eastAsiaTheme="minorEastAsia" w:cstheme="minorEastAsia"/>
          <w:sz w:val="18"/>
          <w:szCs w:val="18"/>
        </w:rPr>
        <w:t>,</w:t>
      </w:r>
      <w:r w:rsidRPr="000A0662">
        <w:rPr>
          <w:rFonts w:eastAsiaTheme="minorEastAsia" w:cstheme="minorEastAsia"/>
          <w:sz w:val="18"/>
          <w:szCs w:val="18"/>
        </w:rPr>
        <w:t xml:space="preserve"> 5</w:t>
      </w:r>
      <w:r>
        <w:rPr>
          <w:rFonts w:eastAsiaTheme="minorEastAsia" w:cstheme="minorEastAsia"/>
          <w:sz w:val="18"/>
          <w:szCs w:val="18"/>
        </w:rPr>
        <w:t>(</w:t>
      </w:r>
      <w:r w:rsidRPr="000A0662">
        <w:rPr>
          <w:rFonts w:eastAsiaTheme="minorEastAsia" w:cstheme="minorEastAsia"/>
          <w:sz w:val="18"/>
          <w:szCs w:val="18"/>
        </w:rPr>
        <w:t>1</w:t>
      </w:r>
      <w:r>
        <w:rPr>
          <w:rFonts w:eastAsiaTheme="minorEastAsia" w:cstheme="minorEastAsia"/>
          <w:sz w:val="18"/>
          <w:szCs w:val="18"/>
        </w:rPr>
        <w:t>)</w:t>
      </w:r>
      <w:r w:rsidRPr="000A0662">
        <w:rPr>
          <w:rFonts w:eastAsiaTheme="minorEastAsia" w:cstheme="minorEastAsia"/>
          <w:sz w:val="18"/>
          <w:szCs w:val="18"/>
        </w:rPr>
        <w:t xml:space="preserve">. Available at: </w:t>
      </w:r>
      <w:hyperlink r:id="rId2" w:history="1">
        <w:r w:rsidRPr="0044030E">
          <w:rPr>
            <w:rStyle w:val="Hyperlink"/>
            <w:rFonts w:eastAsiaTheme="minorEastAsia" w:cstheme="minorEastAsia"/>
            <w:sz w:val="18"/>
            <w:szCs w:val="18"/>
          </w:rPr>
          <w:t>https://doi.org/10.20429/ijsotl.2011.050123</w:t>
        </w:r>
      </w:hyperlink>
      <w:r>
        <w:rPr>
          <w:rFonts w:eastAsiaTheme="minorEastAsia" w:cstheme="minorEastAsia"/>
          <w:sz w:val="18"/>
          <w:szCs w:val="18"/>
        </w:rPr>
        <w:t xml:space="preserve">. </w:t>
      </w:r>
    </w:p>
    <w:p w14:paraId="3ECFC4CA" w14:textId="5774D4D7" w:rsidR="00DD13A7" w:rsidRPr="007E28DD" w:rsidRDefault="00DD13A7" w:rsidP="007E28DD">
      <w:pPr>
        <w:rPr>
          <w:sz w:val="18"/>
          <w:szCs w:val="18"/>
        </w:rPr>
      </w:pPr>
      <w:r w:rsidRPr="000A0662">
        <w:rPr>
          <w:sz w:val="18"/>
          <w:szCs w:val="18"/>
        </w:rPr>
        <w:t>The TLA team considers the following to be a solid definition of scholarly teaching: “t</w:t>
      </w:r>
      <w:r w:rsidRPr="000A0662">
        <w:rPr>
          <w:rFonts w:eastAsiaTheme="minorEastAsia" w:cstheme="minorEastAsia"/>
          <w:sz w:val="18"/>
          <w:szCs w:val="18"/>
        </w:rPr>
        <w:t xml:space="preserve">eaching grounded in critical reflection using systematically and strategically- gathered evidence, related and explained by well-reasoned theory and philosophical understanding, with the goal of maximizing learning through effective teaching.” See Potter and </w:t>
      </w:r>
      <w:proofErr w:type="spellStart"/>
      <w:r w:rsidRPr="000A0662">
        <w:rPr>
          <w:rFonts w:eastAsiaTheme="minorEastAsia" w:cstheme="minorEastAsia"/>
          <w:sz w:val="18"/>
          <w:szCs w:val="18"/>
        </w:rPr>
        <w:t>Kustra</w:t>
      </w:r>
      <w:proofErr w:type="spellEnd"/>
      <w:r w:rsidRPr="000A0662">
        <w:rPr>
          <w:rFonts w:eastAsiaTheme="minorEastAsia" w:cstheme="minorEastAsia"/>
          <w:sz w:val="18"/>
          <w:szCs w:val="18"/>
        </w:rPr>
        <w:t>, 2011.</w:t>
      </w:r>
    </w:p>
  </w:footnote>
  <w:footnote w:id="5">
    <w:p w14:paraId="0AB10F21" w14:textId="0F0C4AE4" w:rsidR="00DD13A7" w:rsidRDefault="00DD13A7" w:rsidP="00656AE2">
      <w:pPr>
        <w:pStyle w:val="FootnoteText"/>
      </w:pPr>
      <w:r w:rsidRPr="00656AE2">
        <w:rPr>
          <w:rStyle w:val="FootnoteReference"/>
        </w:rPr>
        <w:footnoteRef/>
      </w:r>
      <w:r w:rsidRPr="2298130B">
        <w:t xml:space="preserve"> </w:t>
      </w:r>
      <w:r>
        <w:t>For the purposes of this recommendation, the Teaching &amp; Learning Advancement Team adheres to the Council on Undergraduate Research definition of undergraduate research: “an inquiry or investigation conducted by an undergraduate student that makes an original intellectual or creative contribution to the discipline.” This definition applies to all disciplines. The team acknowledges that the optimal faculty-student ratios for mentored undergraduate research are 1:1 or 1</w:t>
      </w:r>
      <w:proofErr w:type="gramStart"/>
      <w:r>
        <w:t>:few</w:t>
      </w:r>
      <w:proofErr w:type="gramEnd"/>
      <w:r>
        <w:t xml:space="preserve"> and also acknowledges that mentored undergraduate research can take place in seminar-style courses.</w:t>
      </w:r>
    </w:p>
  </w:footnote>
  <w:footnote w:id="6">
    <w:p w14:paraId="797FEFA2" w14:textId="7F054983" w:rsidR="00DD13A7" w:rsidRDefault="00DD13A7">
      <w:pPr>
        <w:pStyle w:val="FootnoteText"/>
      </w:pPr>
      <w:r>
        <w:rPr>
          <w:rStyle w:val="FootnoteReference"/>
        </w:rPr>
        <w:footnoteRef/>
      </w:r>
      <w:r>
        <w:t xml:space="preserve"> </w:t>
      </w:r>
      <w:r w:rsidRPr="00077B61">
        <w:rPr>
          <w:rFonts w:ascii="Calibri" w:eastAsia="Calibri" w:hAnsi="Calibri" w:cs="Calibri"/>
        </w:rPr>
        <w:t>George Mason University and Florida Atlantic University have particularly strong programs that could serve as models. GMU, for example, has three types of RI courses that range from the 100-level to the 400-level. See their websites at http://oscar.gmu.edu/fac-staff/Research-and-Scholarship-Intensive-Courses.cfm and http://www.fau.edu/ouri/RI_designation.php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4A01"/>
    <w:multiLevelType w:val="hybridMultilevel"/>
    <w:tmpl w:val="8360764E"/>
    <w:lvl w:ilvl="0" w:tplc="031EFF3C">
      <w:start w:val="1"/>
      <w:numFmt w:val="lowerLetter"/>
      <w:lvlText w:val="%1."/>
      <w:lvlJc w:val="left"/>
      <w:pPr>
        <w:ind w:left="720" w:hanging="360"/>
      </w:pPr>
    </w:lvl>
    <w:lvl w:ilvl="1" w:tplc="60F89118">
      <w:start w:val="1"/>
      <w:numFmt w:val="lowerLetter"/>
      <w:lvlText w:val="%2."/>
      <w:lvlJc w:val="left"/>
      <w:pPr>
        <w:ind w:left="1440" w:hanging="360"/>
      </w:pPr>
    </w:lvl>
    <w:lvl w:ilvl="2" w:tplc="CE24C3FC">
      <w:start w:val="1"/>
      <w:numFmt w:val="lowerRoman"/>
      <w:lvlText w:val="%3."/>
      <w:lvlJc w:val="right"/>
      <w:pPr>
        <w:ind w:left="2160" w:hanging="180"/>
      </w:pPr>
    </w:lvl>
    <w:lvl w:ilvl="3" w:tplc="488219F0">
      <w:start w:val="1"/>
      <w:numFmt w:val="decimal"/>
      <w:lvlText w:val="%4."/>
      <w:lvlJc w:val="left"/>
      <w:pPr>
        <w:ind w:left="2880" w:hanging="360"/>
      </w:pPr>
    </w:lvl>
    <w:lvl w:ilvl="4" w:tplc="5A665E5A">
      <w:start w:val="1"/>
      <w:numFmt w:val="lowerLetter"/>
      <w:lvlText w:val="%5."/>
      <w:lvlJc w:val="left"/>
      <w:pPr>
        <w:ind w:left="3600" w:hanging="360"/>
      </w:pPr>
    </w:lvl>
    <w:lvl w:ilvl="5" w:tplc="3C7E1C6E">
      <w:start w:val="1"/>
      <w:numFmt w:val="lowerRoman"/>
      <w:lvlText w:val="%6."/>
      <w:lvlJc w:val="right"/>
      <w:pPr>
        <w:ind w:left="4320" w:hanging="180"/>
      </w:pPr>
    </w:lvl>
    <w:lvl w:ilvl="6" w:tplc="1A9E909C">
      <w:start w:val="1"/>
      <w:numFmt w:val="decimal"/>
      <w:lvlText w:val="%7."/>
      <w:lvlJc w:val="left"/>
      <w:pPr>
        <w:ind w:left="5040" w:hanging="360"/>
      </w:pPr>
    </w:lvl>
    <w:lvl w:ilvl="7" w:tplc="1DE4FC84">
      <w:start w:val="1"/>
      <w:numFmt w:val="lowerLetter"/>
      <w:lvlText w:val="%8."/>
      <w:lvlJc w:val="left"/>
      <w:pPr>
        <w:ind w:left="5760" w:hanging="360"/>
      </w:pPr>
    </w:lvl>
    <w:lvl w:ilvl="8" w:tplc="0A628E14">
      <w:start w:val="1"/>
      <w:numFmt w:val="lowerRoman"/>
      <w:lvlText w:val="%9."/>
      <w:lvlJc w:val="right"/>
      <w:pPr>
        <w:ind w:left="6480" w:hanging="180"/>
      </w:pPr>
    </w:lvl>
  </w:abstractNum>
  <w:abstractNum w:abstractNumId="1" w15:restartNumberingAfterBreak="0">
    <w:nsid w:val="110E7B02"/>
    <w:multiLevelType w:val="hybridMultilevel"/>
    <w:tmpl w:val="8392E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50E7"/>
    <w:multiLevelType w:val="hybridMultilevel"/>
    <w:tmpl w:val="6E9A9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6339A"/>
    <w:multiLevelType w:val="hybridMultilevel"/>
    <w:tmpl w:val="2288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B0639"/>
    <w:multiLevelType w:val="hybridMultilevel"/>
    <w:tmpl w:val="1246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17420"/>
    <w:multiLevelType w:val="hybridMultilevel"/>
    <w:tmpl w:val="7984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B4A61"/>
    <w:multiLevelType w:val="hybridMultilevel"/>
    <w:tmpl w:val="722C9208"/>
    <w:lvl w:ilvl="0" w:tplc="86FE42F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05142"/>
    <w:multiLevelType w:val="hybridMultilevel"/>
    <w:tmpl w:val="2C5C3E38"/>
    <w:lvl w:ilvl="0" w:tplc="7870CB70">
      <w:start w:val="1"/>
      <w:numFmt w:val="bullet"/>
      <w:lvlText w:val=""/>
      <w:lvlJc w:val="left"/>
      <w:pPr>
        <w:ind w:left="720" w:hanging="360"/>
      </w:pPr>
      <w:rPr>
        <w:rFonts w:ascii="Symbol" w:hAnsi="Symbol" w:hint="default"/>
      </w:rPr>
    </w:lvl>
    <w:lvl w:ilvl="1" w:tplc="342C05E2">
      <w:start w:val="1"/>
      <w:numFmt w:val="bullet"/>
      <w:lvlText w:val="o"/>
      <w:lvlJc w:val="left"/>
      <w:pPr>
        <w:ind w:left="1440" w:hanging="360"/>
      </w:pPr>
      <w:rPr>
        <w:rFonts w:ascii="Courier New" w:hAnsi="Courier New" w:hint="default"/>
      </w:rPr>
    </w:lvl>
    <w:lvl w:ilvl="2" w:tplc="0952D05C">
      <w:start w:val="1"/>
      <w:numFmt w:val="bullet"/>
      <w:lvlText w:val=""/>
      <w:lvlJc w:val="left"/>
      <w:pPr>
        <w:ind w:left="2160" w:hanging="360"/>
      </w:pPr>
      <w:rPr>
        <w:rFonts w:ascii="Wingdings" w:hAnsi="Wingdings" w:hint="default"/>
      </w:rPr>
    </w:lvl>
    <w:lvl w:ilvl="3" w:tplc="089EE5C4">
      <w:start w:val="1"/>
      <w:numFmt w:val="bullet"/>
      <w:lvlText w:val=""/>
      <w:lvlJc w:val="left"/>
      <w:pPr>
        <w:ind w:left="2880" w:hanging="360"/>
      </w:pPr>
      <w:rPr>
        <w:rFonts w:ascii="Symbol" w:hAnsi="Symbol" w:hint="default"/>
      </w:rPr>
    </w:lvl>
    <w:lvl w:ilvl="4" w:tplc="41D274AA">
      <w:start w:val="1"/>
      <w:numFmt w:val="bullet"/>
      <w:lvlText w:val="o"/>
      <w:lvlJc w:val="left"/>
      <w:pPr>
        <w:ind w:left="3600" w:hanging="360"/>
      </w:pPr>
      <w:rPr>
        <w:rFonts w:ascii="Courier New" w:hAnsi="Courier New" w:hint="default"/>
      </w:rPr>
    </w:lvl>
    <w:lvl w:ilvl="5" w:tplc="131209C2">
      <w:start w:val="1"/>
      <w:numFmt w:val="bullet"/>
      <w:lvlText w:val=""/>
      <w:lvlJc w:val="left"/>
      <w:pPr>
        <w:ind w:left="4320" w:hanging="360"/>
      </w:pPr>
      <w:rPr>
        <w:rFonts w:ascii="Wingdings" w:hAnsi="Wingdings" w:hint="default"/>
      </w:rPr>
    </w:lvl>
    <w:lvl w:ilvl="6" w:tplc="D2CC68A2">
      <w:start w:val="1"/>
      <w:numFmt w:val="bullet"/>
      <w:lvlText w:val=""/>
      <w:lvlJc w:val="left"/>
      <w:pPr>
        <w:ind w:left="5040" w:hanging="360"/>
      </w:pPr>
      <w:rPr>
        <w:rFonts w:ascii="Symbol" w:hAnsi="Symbol" w:hint="default"/>
      </w:rPr>
    </w:lvl>
    <w:lvl w:ilvl="7" w:tplc="7C9601BA">
      <w:start w:val="1"/>
      <w:numFmt w:val="bullet"/>
      <w:lvlText w:val="o"/>
      <w:lvlJc w:val="left"/>
      <w:pPr>
        <w:ind w:left="5760" w:hanging="360"/>
      </w:pPr>
      <w:rPr>
        <w:rFonts w:ascii="Courier New" w:hAnsi="Courier New" w:hint="default"/>
      </w:rPr>
    </w:lvl>
    <w:lvl w:ilvl="8" w:tplc="8F0E8698">
      <w:start w:val="1"/>
      <w:numFmt w:val="bullet"/>
      <w:lvlText w:val=""/>
      <w:lvlJc w:val="left"/>
      <w:pPr>
        <w:ind w:left="6480" w:hanging="360"/>
      </w:pPr>
      <w:rPr>
        <w:rFonts w:ascii="Wingdings" w:hAnsi="Wingdings" w:hint="default"/>
      </w:rPr>
    </w:lvl>
  </w:abstractNum>
  <w:abstractNum w:abstractNumId="8" w15:restartNumberingAfterBreak="0">
    <w:nsid w:val="4CD67548"/>
    <w:multiLevelType w:val="hybridMultilevel"/>
    <w:tmpl w:val="267E0A60"/>
    <w:lvl w:ilvl="0" w:tplc="83248994">
      <w:start w:val="1"/>
      <w:numFmt w:val="bullet"/>
      <w:lvlText w:val=""/>
      <w:lvlJc w:val="left"/>
      <w:pPr>
        <w:ind w:left="720" w:hanging="360"/>
      </w:pPr>
      <w:rPr>
        <w:rFonts w:ascii="Symbol" w:hAnsi="Symbol" w:hint="default"/>
      </w:rPr>
    </w:lvl>
    <w:lvl w:ilvl="1" w:tplc="88FCD406">
      <w:start w:val="1"/>
      <w:numFmt w:val="bullet"/>
      <w:lvlText w:val="o"/>
      <w:lvlJc w:val="left"/>
      <w:pPr>
        <w:ind w:left="1440" w:hanging="360"/>
      </w:pPr>
      <w:rPr>
        <w:rFonts w:ascii="Courier New" w:hAnsi="Courier New" w:hint="default"/>
      </w:rPr>
    </w:lvl>
    <w:lvl w:ilvl="2" w:tplc="92EE3462">
      <w:start w:val="1"/>
      <w:numFmt w:val="bullet"/>
      <w:lvlText w:val=""/>
      <w:lvlJc w:val="left"/>
      <w:pPr>
        <w:ind w:left="2160" w:hanging="360"/>
      </w:pPr>
      <w:rPr>
        <w:rFonts w:ascii="Wingdings" w:hAnsi="Wingdings" w:hint="default"/>
      </w:rPr>
    </w:lvl>
    <w:lvl w:ilvl="3" w:tplc="1DC6BAF4">
      <w:start w:val="1"/>
      <w:numFmt w:val="bullet"/>
      <w:lvlText w:val=""/>
      <w:lvlJc w:val="left"/>
      <w:pPr>
        <w:ind w:left="2880" w:hanging="360"/>
      </w:pPr>
      <w:rPr>
        <w:rFonts w:ascii="Symbol" w:hAnsi="Symbol" w:hint="default"/>
      </w:rPr>
    </w:lvl>
    <w:lvl w:ilvl="4" w:tplc="B8F65FC8">
      <w:start w:val="1"/>
      <w:numFmt w:val="bullet"/>
      <w:lvlText w:val="o"/>
      <w:lvlJc w:val="left"/>
      <w:pPr>
        <w:ind w:left="3600" w:hanging="360"/>
      </w:pPr>
      <w:rPr>
        <w:rFonts w:ascii="Courier New" w:hAnsi="Courier New" w:hint="default"/>
      </w:rPr>
    </w:lvl>
    <w:lvl w:ilvl="5" w:tplc="12A6CBBE">
      <w:start w:val="1"/>
      <w:numFmt w:val="bullet"/>
      <w:lvlText w:val=""/>
      <w:lvlJc w:val="left"/>
      <w:pPr>
        <w:ind w:left="4320" w:hanging="360"/>
      </w:pPr>
      <w:rPr>
        <w:rFonts w:ascii="Wingdings" w:hAnsi="Wingdings" w:hint="default"/>
      </w:rPr>
    </w:lvl>
    <w:lvl w:ilvl="6" w:tplc="CBA4CEBA">
      <w:start w:val="1"/>
      <w:numFmt w:val="bullet"/>
      <w:lvlText w:val=""/>
      <w:lvlJc w:val="left"/>
      <w:pPr>
        <w:ind w:left="5040" w:hanging="360"/>
      </w:pPr>
      <w:rPr>
        <w:rFonts w:ascii="Symbol" w:hAnsi="Symbol" w:hint="default"/>
      </w:rPr>
    </w:lvl>
    <w:lvl w:ilvl="7" w:tplc="383E1B16">
      <w:start w:val="1"/>
      <w:numFmt w:val="bullet"/>
      <w:lvlText w:val="o"/>
      <w:lvlJc w:val="left"/>
      <w:pPr>
        <w:ind w:left="5760" w:hanging="360"/>
      </w:pPr>
      <w:rPr>
        <w:rFonts w:ascii="Courier New" w:hAnsi="Courier New" w:hint="default"/>
      </w:rPr>
    </w:lvl>
    <w:lvl w:ilvl="8" w:tplc="786C31F6">
      <w:start w:val="1"/>
      <w:numFmt w:val="bullet"/>
      <w:lvlText w:val=""/>
      <w:lvlJc w:val="left"/>
      <w:pPr>
        <w:ind w:left="6480" w:hanging="360"/>
      </w:pPr>
      <w:rPr>
        <w:rFonts w:ascii="Wingdings" w:hAnsi="Wingdings" w:hint="default"/>
      </w:rPr>
    </w:lvl>
  </w:abstractNum>
  <w:abstractNum w:abstractNumId="9" w15:restartNumberingAfterBreak="0">
    <w:nsid w:val="54323FF7"/>
    <w:multiLevelType w:val="hybridMultilevel"/>
    <w:tmpl w:val="645A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A69D8"/>
    <w:multiLevelType w:val="hybridMultilevel"/>
    <w:tmpl w:val="3C0C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125BD"/>
    <w:multiLevelType w:val="hybridMultilevel"/>
    <w:tmpl w:val="0F520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AC036D"/>
    <w:multiLevelType w:val="hybridMultilevel"/>
    <w:tmpl w:val="5BC86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81AA9"/>
    <w:multiLevelType w:val="hybridMultilevel"/>
    <w:tmpl w:val="E3B4FC14"/>
    <w:lvl w:ilvl="0" w:tplc="86FE42F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D45E6"/>
    <w:multiLevelType w:val="hybridMultilevel"/>
    <w:tmpl w:val="0F82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C3CD5"/>
    <w:multiLevelType w:val="hybridMultilevel"/>
    <w:tmpl w:val="E91A0CC6"/>
    <w:lvl w:ilvl="0" w:tplc="7DA0D468">
      <w:start w:val="1"/>
      <w:numFmt w:val="lowerLetter"/>
      <w:lvlText w:val="%1."/>
      <w:lvlJc w:val="left"/>
      <w:pPr>
        <w:ind w:left="720" w:hanging="360"/>
      </w:pPr>
    </w:lvl>
    <w:lvl w:ilvl="1" w:tplc="50BCB956">
      <w:start w:val="1"/>
      <w:numFmt w:val="lowerLetter"/>
      <w:lvlText w:val="%2."/>
      <w:lvlJc w:val="left"/>
      <w:pPr>
        <w:ind w:left="1440" w:hanging="360"/>
      </w:pPr>
    </w:lvl>
    <w:lvl w:ilvl="2" w:tplc="956607DE">
      <w:start w:val="1"/>
      <w:numFmt w:val="lowerRoman"/>
      <w:lvlText w:val="%3."/>
      <w:lvlJc w:val="right"/>
      <w:pPr>
        <w:ind w:left="2160" w:hanging="180"/>
      </w:pPr>
    </w:lvl>
    <w:lvl w:ilvl="3" w:tplc="47249A44">
      <w:start w:val="1"/>
      <w:numFmt w:val="decimal"/>
      <w:lvlText w:val="%4."/>
      <w:lvlJc w:val="left"/>
      <w:pPr>
        <w:ind w:left="2880" w:hanging="360"/>
      </w:pPr>
    </w:lvl>
    <w:lvl w:ilvl="4" w:tplc="ADFAEE54">
      <w:start w:val="1"/>
      <w:numFmt w:val="lowerLetter"/>
      <w:lvlText w:val="%5."/>
      <w:lvlJc w:val="left"/>
      <w:pPr>
        <w:ind w:left="3600" w:hanging="360"/>
      </w:pPr>
    </w:lvl>
    <w:lvl w:ilvl="5" w:tplc="B2DC4BFA">
      <w:start w:val="1"/>
      <w:numFmt w:val="lowerRoman"/>
      <w:lvlText w:val="%6."/>
      <w:lvlJc w:val="right"/>
      <w:pPr>
        <w:ind w:left="4320" w:hanging="180"/>
      </w:pPr>
    </w:lvl>
    <w:lvl w:ilvl="6" w:tplc="0912792C">
      <w:start w:val="1"/>
      <w:numFmt w:val="decimal"/>
      <w:lvlText w:val="%7."/>
      <w:lvlJc w:val="left"/>
      <w:pPr>
        <w:ind w:left="5040" w:hanging="360"/>
      </w:pPr>
    </w:lvl>
    <w:lvl w:ilvl="7" w:tplc="177C62DE">
      <w:start w:val="1"/>
      <w:numFmt w:val="lowerLetter"/>
      <w:lvlText w:val="%8."/>
      <w:lvlJc w:val="left"/>
      <w:pPr>
        <w:ind w:left="5760" w:hanging="360"/>
      </w:pPr>
    </w:lvl>
    <w:lvl w:ilvl="8" w:tplc="5D342D84">
      <w:start w:val="1"/>
      <w:numFmt w:val="lowerRoman"/>
      <w:lvlText w:val="%9."/>
      <w:lvlJc w:val="right"/>
      <w:pPr>
        <w:ind w:left="6480" w:hanging="180"/>
      </w:pPr>
    </w:lvl>
  </w:abstractNum>
  <w:abstractNum w:abstractNumId="16" w15:restartNumberingAfterBreak="0">
    <w:nsid w:val="65077F2D"/>
    <w:multiLevelType w:val="hybridMultilevel"/>
    <w:tmpl w:val="C508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74BB8"/>
    <w:multiLevelType w:val="hybridMultilevel"/>
    <w:tmpl w:val="974E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55A23"/>
    <w:multiLevelType w:val="hybridMultilevel"/>
    <w:tmpl w:val="78ACDEBA"/>
    <w:lvl w:ilvl="0" w:tplc="288CE674">
      <w:start w:val="1"/>
      <w:numFmt w:val="bullet"/>
      <w:lvlText w:val=""/>
      <w:lvlJc w:val="left"/>
      <w:pPr>
        <w:ind w:left="720" w:hanging="360"/>
      </w:pPr>
      <w:rPr>
        <w:rFonts w:ascii="Symbol" w:hAnsi="Symbol" w:hint="default"/>
      </w:rPr>
    </w:lvl>
    <w:lvl w:ilvl="1" w:tplc="8F42826E">
      <w:start w:val="1"/>
      <w:numFmt w:val="bullet"/>
      <w:lvlText w:val="o"/>
      <w:lvlJc w:val="left"/>
      <w:pPr>
        <w:ind w:left="1440" w:hanging="360"/>
      </w:pPr>
      <w:rPr>
        <w:rFonts w:ascii="Courier New" w:hAnsi="Courier New" w:hint="default"/>
      </w:rPr>
    </w:lvl>
    <w:lvl w:ilvl="2" w:tplc="13DEB1AA">
      <w:start w:val="1"/>
      <w:numFmt w:val="bullet"/>
      <w:lvlText w:val=""/>
      <w:lvlJc w:val="left"/>
      <w:pPr>
        <w:ind w:left="2160" w:hanging="360"/>
      </w:pPr>
      <w:rPr>
        <w:rFonts w:ascii="Wingdings" w:hAnsi="Wingdings" w:hint="default"/>
      </w:rPr>
    </w:lvl>
    <w:lvl w:ilvl="3" w:tplc="491C357E">
      <w:start w:val="1"/>
      <w:numFmt w:val="bullet"/>
      <w:lvlText w:val=""/>
      <w:lvlJc w:val="left"/>
      <w:pPr>
        <w:ind w:left="2880" w:hanging="360"/>
      </w:pPr>
      <w:rPr>
        <w:rFonts w:ascii="Symbol" w:hAnsi="Symbol" w:hint="default"/>
      </w:rPr>
    </w:lvl>
    <w:lvl w:ilvl="4" w:tplc="B102452A">
      <w:start w:val="1"/>
      <w:numFmt w:val="bullet"/>
      <w:lvlText w:val="o"/>
      <w:lvlJc w:val="left"/>
      <w:pPr>
        <w:ind w:left="3600" w:hanging="360"/>
      </w:pPr>
      <w:rPr>
        <w:rFonts w:ascii="Courier New" w:hAnsi="Courier New" w:hint="default"/>
      </w:rPr>
    </w:lvl>
    <w:lvl w:ilvl="5" w:tplc="C3D8E0A2">
      <w:start w:val="1"/>
      <w:numFmt w:val="bullet"/>
      <w:lvlText w:val=""/>
      <w:lvlJc w:val="left"/>
      <w:pPr>
        <w:ind w:left="4320" w:hanging="360"/>
      </w:pPr>
      <w:rPr>
        <w:rFonts w:ascii="Wingdings" w:hAnsi="Wingdings" w:hint="default"/>
      </w:rPr>
    </w:lvl>
    <w:lvl w:ilvl="6" w:tplc="2202EFAA">
      <w:start w:val="1"/>
      <w:numFmt w:val="bullet"/>
      <w:lvlText w:val=""/>
      <w:lvlJc w:val="left"/>
      <w:pPr>
        <w:ind w:left="5040" w:hanging="360"/>
      </w:pPr>
      <w:rPr>
        <w:rFonts w:ascii="Symbol" w:hAnsi="Symbol" w:hint="default"/>
      </w:rPr>
    </w:lvl>
    <w:lvl w:ilvl="7" w:tplc="E224092A">
      <w:start w:val="1"/>
      <w:numFmt w:val="bullet"/>
      <w:lvlText w:val="o"/>
      <w:lvlJc w:val="left"/>
      <w:pPr>
        <w:ind w:left="5760" w:hanging="360"/>
      </w:pPr>
      <w:rPr>
        <w:rFonts w:ascii="Courier New" w:hAnsi="Courier New" w:hint="default"/>
      </w:rPr>
    </w:lvl>
    <w:lvl w:ilvl="8" w:tplc="CED0A8AE">
      <w:start w:val="1"/>
      <w:numFmt w:val="bullet"/>
      <w:lvlText w:val=""/>
      <w:lvlJc w:val="left"/>
      <w:pPr>
        <w:ind w:left="6480" w:hanging="360"/>
      </w:pPr>
      <w:rPr>
        <w:rFonts w:ascii="Wingdings" w:hAnsi="Wingdings" w:hint="default"/>
      </w:rPr>
    </w:lvl>
  </w:abstractNum>
  <w:abstractNum w:abstractNumId="19" w15:restartNumberingAfterBreak="0">
    <w:nsid w:val="6D9251DA"/>
    <w:multiLevelType w:val="hybridMultilevel"/>
    <w:tmpl w:val="A8AC490E"/>
    <w:lvl w:ilvl="0" w:tplc="074C6EC0">
      <w:start w:val="1"/>
      <w:numFmt w:val="bullet"/>
      <w:lvlText w:val=""/>
      <w:lvlJc w:val="left"/>
      <w:pPr>
        <w:ind w:left="720" w:hanging="360"/>
      </w:pPr>
      <w:rPr>
        <w:rFonts w:ascii="Symbol" w:hAnsi="Symbol" w:hint="default"/>
      </w:rPr>
    </w:lvl>
    <w:lvl w:ilvl="1" w:tplc="2A4E721A">
      <w:start w:val="1"/>
      <w:numFmt w:val="bullet"/>
      <w:lvlText w:val="o"/>
      <w:lvlJc w:val="left"/>
      <w:pPr>
        <w:ind w:left="1440" w:hanging="360"/>
      </w:pPr>
      <w:rPr>
        <w:rFonts w:ascii="Courier New" w:hAnsi="Courier New" w:hint="default"/>
      </w:rPr>
    </w:lvl>
    <w:lvl w:ilvl="2" w:tplc="CBA04F3C">
      <w:start w:val="1"/>
      <w:numFmt w:val="bullet"/>
      <w:lvlText w:val=""/>
      <w:lvlJc w:val="left"/>
      <w:pPr>
        <w:ind w:left="2160" w:hanging="360"/>
      </w:pPr>
      <w:rPr>
        <w:rFonts w:ascii="Wingdings" w:hAnsi="Wingdings" w:hint="default"/>
      </w:rPr>
    </w:lvl>
    <w:lvl w:ilvl="3" w:tplc="358A48B4">
      <w:start w:val="1"/>
      <w:numFmt w:val="bullet"/>
      <w:lvlText w:val=""/>
      <w:lvlJc w:val="left"/>
      <w:pPr>
        <w:ind w:left="2880" w:hanging="360"/>
      </w:pPr>
      <w:rPr>
        <w:rFonts w:ascii="Symbol" w:hAnsi="Symbol" w:hint="default"/>
      </w:rPr>
    </w:lvl>
    <w:lvl w:ilvl="4" w:tplc="79B6BA0A">
      <w:start w:val="1"/>
      <w:numFmt w:val="bullet"/>
      <w:lvlText w:val="o"/>
      <w:lvlJc w:val="left"/>
      <w:pPr>
        <w:ind w:left="3600" w:hanging="360"/>
      </w:pPr>
      <w:rPr>
        <w:rFonts w:ascii="Courier New" w:hAnsi="Courier New" w:hint="default"/>
      </w:rPr>
    </w:lvl>
    <w:lvl w:ilvl="5" w:tplc="B0762BA0">
      <w:start w:val="1"/>
      <w:numFmt w:val="bullet"/>
      <w:lvlText w:val=""/>
      <w:lvlJc w:val="left"/>
      <w:pPr>
        <w:ind w:left="4320" w:hanging="360"/>
      </w:pPr>
      <w:rPr>
        <w:rFonts w:ascii="Wingdings" w:hAnsi="Wingdings" w:hint="default"/>
      </w:rPr>
    </w:lvl>
    <w:lvl w:ilvl="6" w:tplc="04A45466">
      <w:start w:val="1"/>
      <w:numFmt w:val="bullet"/>
      <w:lvlText w:val=""/>
      <w:lvlJc w:val="left"/>
      <w:pPr>
        <w:ind w:left="5040" w:hanging="360"/>
      </w:pPr>
      <w:rPr>
        <w:rFonts w:ascii="Symbol" w:hAnsi="Symbol" w:hint="default"/>
      </w:rPr>
    </w:lvl>
    <w:lvl w:ilvl="7" w:tplc="60E228C2">
      <w:start w:val="1"/>
      <w:numFmt w:val="bullet"/>
      <w:lvlText w:val="o"/>
      <w:lvlJc w:val="left"/>
      <w:pPr>
        <w:ind w:left="5760" w:hanging="360"/>
      </w:pPr>
      <w:rPr>
        <w:rFonts w:ascii="Courier New" w:hAnsi="Courier New" w:hint="default"/>
      </w:rPr>
    </w:lvl>
    <w:lvl w:ilvl="8" w:tplc="E41C94B8">
      <w:start w:val="1"/>
      <w:numFmt w:val="bullet"/>
      <w:lvlText w:val=""/>
      <w:lvlJc w:val="left"/>
      <w:pPr>
        <w:ind w:left="6480" w:hanging="360"/>
      </w:pPr>
      <w:rPr>
        <w:rFonts w:ascii="Wingdings" w:hAnsi="Wingdings" w:hint="default"/>
      </w:rPr>
    </w:lvl>
  </w:abstractNum>
  <w:abstractNum w:abstractNumId="20" w15:restartNumberingAfterBreak="0">
    <w:nsid w:val="71F05D92"/>
    <w:multiLevelType w:val="hybridMultilevel"/>
    <w:tmpl w:val="05FAC0BC"/>
    <w:lvl w:ilvl="0" w:tplc="86FE42F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36B88"/>
    <w:multiLevelType w:val="hybridMultilevel"/>
    <w:tmpl w:val="CAF4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800F1"/>
    <w:multiLevelType w:val="hybridMultilevel"/>
    <w:tmpl w:val="3CD8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63263"/>
    <w:multiLevelType w:val="hybridMultilevel"/>
    <w:tmpl w:val="EA22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57D76"/>
    <w:multiLevelType w:val="hybridMultilevel"/>
    <w:tmpl w:val="3880DA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120F6"/>
    <w:multiLevelType w:val="hybridMultilevel"/>
    <w:tmpl w:val="8ECC8B42"/>
    <w:lvl w:ilvl="0" w:tplc="86FE42F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0979"/>
    <w:multiLevelType w:val="hybridMultilevel"/>
    <w:tmpl w:val="1FC2BA40"/>
    <w:lvl w:ilvl="0" w:tplc="D68678DC">
      <w:start w:val="1"/>
      <w:numFmt w:val="lowerLetter"/>
      <w:lvlText w:val="%1."/>
      <w:lvlJc w:val="left"/>
      <w:pPr>
        <w:ind w:left="720" w:hanging="360"/>
      </w:pPr>
    </w:lvl>
    <w:lvl w:ilvl="1" w:tplc="ED124CDE">
      <w:start w:val="1"/>
      <w:numFmt w:val="lowerLetter"/>
      <w:lvlText w:val="%2."/>
      <w:lvlJc w:val="left"/>
      <w:pPr>
        <w:ind w:left="1440" w:hanging="360"/>
      </w:pPr>
    </w:lvl>
    <w:lvl w:ilvl="2" w:tplc="5B7C06E6">
      <w:start w:val="1"/>
      <w:numFmt w:val="lowerRoman"/>
      <w:lvlText w:val="%3."/>
      <w:lvlJc w:val="right"/>
      <w:pPr>
        <w:ind w:left="2160" w:hanging="180"/>
      </w:pPr>
    </w:lvl>
    <w:lvl w:ilvl="3" w:tplc="F29E2B1A">
      <w:start w:val="1"/>
      <w:numFmt w:val="decimal"/>
      <w:lvlText w:val="%4."/>
      <w:lvlJc w:val="left"/>
      <w:pPr>
        <w:ind w:left="2880" w:hanging="360"/>
      </w:pPr>
    </w:lvl>
    <w:lvl w:ilvl="4" w:tplc="E54427CA">
      <w:start w:val="1"/>
      <w:numFmt w:val="lowerLetter"/>
      <w:lvlText w:val="%5."/>
      <w:lvlJc w:val="left"/>
      <w:pPr>
        <w:ind w:left="3600" w:hanging="360"/>
      </w:pPr>
    </w:lvl>
    <w:lvl w:ilvl="5" w:tplc="FD461E5C">
      <w:start w:val="1"/>
      <w:numFmt w:val="lowerRoman"/>
      <w:lvlText w:val="%6."/>
      <w:lvlJc w:val="right"/>
      <w:pPr>
        <w:ind w:left="4320" w:hanging="180"/>
      </w:pPr>
    </w:lvl>
    <w:lvl w:ilvl="6" w:tplc="1458D7B6">
      <w:start w:val="1"/>
      <w:numFmt w:val="decimal"/>
      <w:lvlText w:val="%7."/>
      <w:lvlJc w:val="left"/>
      <w:pPr>
        <w:ind w:left="5040" w:hanging="360"/>
      </w:pPr>
    </w:lvl>
    <w:lvl w:ilvl="7" w:tplc="F2FA0304">
      <w:start w:val="1"/>
      <w:numFmt w:val="lowerLetter"/>
      <w:lvlText w:val="%8."/>
      <w:lvlJc w:val="left"/>
      <w:pPr>
        <w:ind w:left="5760" w:hanging="360"/>
      </w:pPr>
    </w:lvl>
    <w:lvl w:ilvl="8" w:tplc="15DAA320">
      <w:start w:val="1"/>
      <w:numFmt w:val="lowerRoman"/>
      <w:lvlText w:val="%9."/>
      <w:lvlJc w:val="right"/>
      <w:pPr>
        <w:ind w:left="6480" w:hanging="180"/>
      </w:pPr>
    </w:lvl>
  </w:abstractNum>
  <w:num w:numId="1">
    <w:abstractNumId w:val="19"/>
  </w:num>
  <w:num w:numId="2">
    <w:abstractNumId w:val="18"/>
  </w:num>
  <w:num w:numId="3">
    <w:abstractNumId w:val="15"/>
  </w:num>
  <w:num w:numId="4">
    <w:abstractNumId w:val="8"/>
  </w:num>
  <w:num w:numId="5">
    <w:abstractNumId w:val="26"/>
  </w:num>
  <w:num w:numId="6">
    <w:abstractNumId w:val="7"/>
  </w:num>
  <w:num w:numId="7">
    <w:abstractNumId w:val="0"/>
  </w:num>
  <w:num w:numId="8">
    <w:abstractNumId w:val="11"/>
  </w:num>
  <w:num w:numId="9">
    <w:abstractNumId w:val="12"/>
  </w:num>
  <w:num w:numId="10">
    <w:abstractNumId w:val="20"/>
  </w:num>
  <w:num w:numId="11">
    <w:abstractNumId w:val="24"/>
  </w:num>
  <w:num w:numId="12">
    <w:abstractNumId w:val="13"/>
  </w:num>
  <w:num w:numId="13">
    <w:abstractNumId w:val="6"/>
  </w:num>
  <w:num w:numId="14">
    <w:abstractNumId w:val="25"/>
  </w:num>
  <w:num w:numId="15">
    <w:abstractNumId w:val="4"/>
  </w:num>
  <w:num w:numId="16">
    <w:abstractNumId w:val="1"/>
  </w:num>
  <w:num w:numId="17">
    <w:abstractNumId w:val="22"/>
  </w:num>
  <w:num w:numId="18">
    <w:abstractNumId w:val="17"/>
  </w:num>
  <w:num w:numId="19">
    <w:abstractNumId w:val="14"/>
  </w:num>
  <w:num w:numId="20">
    <w:abstractNumId w:val="21"/>
  </w:num>
  <w:num w:numId="21">
    <w:abstractNumId w:val="16"/>
  </w:num>
  <w:num w:numId="22">
    <w:abstractNumId w:val="3"/>
  </w:num>
  <w:num w:numId="23">
    <w:abstractNumId w:val="5"/>
  </w:num>
  <w:num w:numId="24">
    <w:abstractNumId w:val="10"/>
  </w:num>
  <w:num w:numId="25">
    <w:abstractNumId w:val="23"/>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B4"/>
    <w:rsid w:val="00002570"/>
    <w:rsid w:val="00005AF2"/>
    <w:rsid w:val="00045CC5"/>
    <w:rsid w:val="00084482"/>
    <w:rsid w:val="00087B4B"/>
    <w:rsid w:val="00097C53"/>
    <w:rsid w:val="000A0662"/>
    <w:rsid w:val="000A5BB9"/>
    <w:rsid w:val="000B2D04"/>
    <w:rsid w:val="000E0EC6"/>
    <w:rsid w:val="000F802A"/>
    <w:rsid w:val="0010756B"/>
    <w:rsid w:val="00114719"/>
    <w:rsid w:val="00132A79"/>
    <w:rsid w:val="00157EB0"/>
    <w:rsid w:val="0017192E"/>
    <w:rsid w:val="00193231"/>
    <w:rsid w:val="001C2F93"/>
    <w:rsid w:val="001C4E74"/>
    <w:rsid w:val="001C549E"/>
    <w:rsid w:val="001D6324"/>
    <w:rsid w:val="001D64AB"/>
    <w:rsid w:val="001D7F67"/>
    <w:rsid w:val="001E0906"/>
    <w:rsid w:val="00275A6C"/>
    <w:rsid w:val="00286FFA"/>
    <w:rsid w:val="002A0A6B"/>
    <w:rsid w:val="002B6B67"/>
    <w:rsid w:val="002D6EFE"/>
    <w:rsid w:val="002D7009"/>
    <w:rsid w:val="002E3967"/>
    <w:rsid w:val="002E73E6"/>
    <w:rsid w:val="00305507"/>
    <w:rsid w:val="00305FAA"/>
    <w:rsid w:val="00314666"/>
    <w:rsid w:val="003229D2"/>
    <w:rsid w:val="00323137"/>
    <w:rsid w:val="00324ED2"/>
    <w:rsid w:val="00331FC9"/>
    <w:rsid w:val="00341065"/>
    <w:rsid w:val="0034603D"/>
    <w:rsid w:val="00347519"/>
    <w:rsid w:val="00350041"/>
    <w:rsid w:val="00351A11"/>
    <w:rsid w:val="00370B9B"/>
    <w:rsid w:val="0038485E"/>
    <w:rsid w:val="003C782A"/>
    <w:rsid w:val="00420A31"/>
    <w:rsid w:val="004268C9"/>
    <w:rsid w:val="00431DBF"/>
    <w:rsid w:val="00444025"/>
    <w:rsid w:val="004533E1"/>
    <w:rsid w:val="004548AD"/>
    <w:rsid w:val="00476A3A"/>
    <w:rsid w:val="004830DF"/>
    <w:rsid w:val="00486718"/>
    <w:rsid w:val="004A1962"/>
    <w:rsid w:val="004A2FBF"/>
    <w:rsid w:val="004B20C7"/>
    <w:rsid w:val="004B2173"/>
    <w:rsid w:val="004C3399"/>
    <w:rsid w:val="004D287C"/>
    <w:rsid w:val="004D665A"/>
    <w:rsid w:val="004F44DE"/>
    <w:rsid w:val="00525020"/>
    <w:rsid w:val="00525FAA"/>
    <w:rsid w:val="00535741"/>
    <w:rsid w:val="00546330"/>
    <w:rsid w:val="005504DC"/>
    <w:rsid w:val="00563742"/>
    <w:rsid w:val="00564764"/>
    <w:rsid w:val="005846BB"/>
    <w:rsid w:val="005E204A"/>
    <w:rsid w:val="00614E69"/>
    <w:rsid w:val="006214D0"/>
    <w:rsid w:val="006468DF"/>
    <w:rsid w:val="006479B4"/>
    <w:rsid w:val="00656AE2"/>
    <w:rsid w:val="00666A84"/>
    <w:rsid w:val="006721F0"/>
    <w:rsid w:val="0067691D"/>
    <w:rsid w:val="006929CD"/>
    <w:rsid w:val="006A22CC"/>
    <w:rsid w:val="006CF808"/>
    <w:rsid w:val="0071466E"/>
    <w:rsid w:val="00725604"/>
    <w:rsid w:val="00730869"/>
    <w:rsid w:val="00736184"/>
    <w:rsid w:val="00744870"/>
    <w:rsid w:val="00762D5B"/>
    <w:rsid w:val="00773A5C"/>
    <w:rsid w:val="00773ECD"/>
    <w:rsid w:val="00775DBC"/>
    <w:rsid w:val="00777BB1"/>
    <w:rsid w:val="00780868"/>
    <w:rsid w:val="00782401"/>
    <w:rsid w:val="00782BB3"/>
    <w:rsid w:val="00790326"/>
    <w:rsid w:val="00794CA5"/>
    <w:rsid w:val="007B0EC3"/>
    <w:rsid w:val="007C621A"/>
    <w:rsid w:val="007C67E4"/>
    <w:rsid w:val="007D4F49"/>
    <w:rsid w:val="007E28DD"/>
    <w:rsid w:val="00804FB5"/>
    <w:rsid w:val="00834F4A"/>
    <w:rsid w:val="00856862"/>
    <w:rsid w:val="0087763D"/>
    <w:rsid w:val="00885866"/>
    <w:rsid w:val="00896BF8"/>
    <w:rsid w:val="008A2C2F"/>
    <w:rsid w:val="008D0561"/>
    <w:rsid w:val="008D07E5"/>
    <w:rsid w:val="00905550"/>
    <w:rsid w:val="00911618"/>
    <w:rsid w:val="00921F0F"/>
    <w:rsid w:val="009337B5"/>
    <w:rsid w:val="0093427D"/>
    <w:rsid w:val="0097650F"/>
    <w:rsid w:val="009839A9"/>
    <w:rsid w:val="0099710C"/>
    <w:rsid w:val="009C0EE2"/>
    <w:rsid w:val="009C4AA5"/>
    <w:rsid w:val="009E1764"/>
    <w:rsid w:val="009E5D81"/>
    <w:rsid w:val="00A05035"/>
    <w:rsid w:val="00A30A75"/>
    <w:rsid w:val="00A71E23"/>
    <w:rsid w:val="00A755D4"/>
    <w:rsid w:val="00A91B5E"/>
    <w:rsid w:val="00A972E5"/>
    <w:rsid w:val="00AA08C7"/>
    <w:rsid w:val="00AB15C9"/>
    <w:rsid w:val="00AC44D4"/>
    <w:rsid w:val="00AE1E87"/>
    <w:rsid w:val="00B076B5"/>
    <w:rsid w:val="00B27EE3"/>
    <w:rsid w:val="00B43E67"/>
    <w:rsid w:val="00B462DE"/>
    <w:rsid w:val="00B4732D"/>
    <w:rsid w:val="00B53592"/>
    <w:rsid w:val="00B53C51"/>
    <w:rsid w:val="00B57863"/>
    <w:rsid w:val="00BB3A14"/>
    <w:rsid w:val="00BC4960"/>
    <w:rsid w:val="00C14F26"/>
    <w:rsid w:val="00C24D3F"/>
    <w:rsid w:val="00C52C3E"/>
    <w:rsid w:val="00C5551C"/>
    <w:rsid w:val="00C62312"/>
    <w:rsid w:val="00C62449"/>
    <w:rsid w:val="00C641F4"/>
    <w:rsid w:val="00C76CDF"/>
    <w:rsid w:val="00CA473B"/>
    <w:rsid w:val="00CB08B7"/>
    <w:rsid w:val="00CB1E7C"/>
    <w:rsid w:val="00CC316B"/>
    <w:rsid w:val="00CF1D18"/>
    <w:rsid w:val="00D137B1"/>
    <w:rsid w:val="00D14B63"/>
    <w:rsid w:val="00D2010C"/>
    <w:rsid w:val="00D201BB"/>
    <w:rsid w:val="00D26863"/>
    <w:rsid w:val="00D443BE"/>
    <w:rsid w:val="00D56BAC"/>
    <w:rsid w:val="00D72220"/>
    <w:rsid w:val="00D80A68"/>
    <w:rsid w:val="00D8479A"/>
    <w:rsid w:val="00D90FAB"/>
    <w:rsid w:val="00DB6008"/>
    <w:rsid w:val="00DB628B"/>
    <w:rsid w:val="00DC688B"/>
    <w:rsid w:val="00DD13A7"/>
    <w:rsid w:val="00DE0962"/>
    <w:rsid w:val="00DF2381"/>
    <w:rsid w:val="00E0051A"/>
    <w:rsid w:val="00E1749E"/>
    <w:rsid w:val="00E24333"/>
    <w:rsid w:val="00E35FE0"/>
    <w:rsid w:val="00E72A6D"/>
    <w:rsid w:val="00EAD79E"/>
    <w:rsid w:val="00EC5028"/>
    <w:rsid w:val="00ED014F"/>
    <w:rsid w:val="00F37E17"/>
    <w:rsid w:val="00F450E5"/>
    <w:rsid w:val="00F45500"/>
    <w:rsid w:val="00F5282D"/>
    <w:rsid w:val="00F6238C"/>
    <w:rsid w:val="00F668A7"/>
    <w:rsid w:val="00F72E69"/>
    <w:rsid w:val="00F769BD"/>
    <w:rsid w:val="00F76DA6"/>
    <w:rsid w:val="00F96006"/>
    <w:rsid w:val="00FA273C"/>
    <w:rsid w:val="00FA506C"/>
    <w:rsid w:val="00FC4418"/>
    <w:rsid w:val="00FE7E72"/>
    <w:rsid w:val="00FF4B5F"/>
    <w:rsid w:val="011D556F"/>
    <w:rsid w:val="01800DD3"/>
    <w:rsid w:val="019EC5AF"/>
    <w:rsid w:val="01F29147"/>
    <w:rsid w:val="020404CB"/>
    <w:rsid w:val="0240FCC5"/>
    <w:rsid w:val="02F26FB9"/>
    <w:rsid w:val="03040F23"/>
    <w:rsid w:val="03714AFE"/>
    <w:rsid w:val="03E6A558"/>
    <w:rsid w:val="03E8CFB4"/>
    <w:rsid w:val="04556F1A"/>
    <w:rsid w:val="047FA13C"/>
    <w:rsid w:val="04B71484"/>
    <w:rsid w:val="04D1CF6C"/>
    <w:rsid w:val="062F8798"/>
    <w:rsid w:val="063668F3"/>
    <w:rsid w:val="06804AD7"/>
    <w:rsid w:val="06BAC25B"/>
    <w:rsid w:val="06FD448F"/>
    <w:rsid w:val="075E511E"/>
    <w:rsid w:val="075E692B"/>
    <w:rsid w:val="077A06D3"/>
    <w:rsid w:val="077C8111"/>
    <w:rsid w:val="086B3CC2"/>
    <w:rsid w:val="08E679B7"/>
    <w:rsid w:val="0974027B"/>
    <w:rsid w:val="0B75E0CE"/>
    <w:rsid w:val="0BE5224F"/>
    <w:rsid w:val="0CD6D8F4"/>
    <w:rsid w:val="0D704F51"/>
    <w:rsid w:val="0D8A5B01"/>
    <w:rsid w:val="0E762C51"/>
    <w:rsid w:val="0F0B529B"/>
    <w:rsid w:val="0F72B41D"/>
    <w:rsid w:val="0FBEB4F4"/>
    <w:rsid w:val="0FD12E28"/>
    <w:rsid w:val="103E13E4"/>
    <w:rsid w:val="1169B63C"/>
    <w:rsid w:val="12EC916D"/>
    <w:rsid w:val="1324569E"/>
    <w:rsid w:val="132EA72D"/>
    <w:rsid w:val="13EE0D9E"/>
    <w:rsid w:val="14086E34"/>
    <w:rsid w:val="153D0926"/>
    <w:rsid w:val="164A18FA"/>
    <w:rsid w:val="166B9854"/>
    <w:rsid w:val="171D3AC0"/>
    <w:rsid w:val="171DC4A3"/>
    <w:rsid w:val="17B27B6B"/>
    <w:rsid w:val="17F3F46E"/>
    <w:rsid w:val="180E3561"/>
    <w:rsid w:val="195D62BF"/>
    <w:rsid w:val="1B1E965C"/>
    <w:rsid w:val="1B4D04F3"/>
    <w:rsid w:val="1BE75002"/>
    <w:rsid w:val="1BF3FEC8"/>
    <w:rsid w:val="1CA8EEC0"/>
    <w:rsid w:val="1DEE37C5"/>
    <w:rsid w:val="1DF68061"/>
    <w:rsid w:val="1DFEE2EE"/>
    <w:rsid w:val="1DFFE237"/>
    <w:rsid w:val="1E38512E"/>
    <w:rsid w:val="1E396338"/>
    <w:rsid w:val="1F17FC3B"/>
    <w:rsid w:val="1FDFB800"/>
    <w:rsid w:val="2023305B"/>
    <w:rsid w:val="20F93931"/>
    <w:rsid w:val="21000A29"/>
    <w:rsid w:val="22679DD8"/>
    <w:rsid w:val="2298130B"/>
    <w:rsid w:val="232E16FC"/>
    <w:rsid w:val="241A9321"/>
    <w:rsid w:val="2457BE9C"/>
    <w:rsid w:val="2466686E"/>
    <w:rsid w:val="248E4684"/>
    <w:rsid w:val="24A9FC39"/>
    <w:rsid w:val="25402189"/>
    <w:rsid w:val="25E9C9A8"/>
    <w:rsid w:val="26625327"/>
    <w:rsid w:val="273FB490"/>
    <w:rsid w:val="276B78FA"/>
    <w:rsid w:val="27B8946E"/>
    <w:rsid w:val="27CCFE40"/>
    <w:rsid w:val="28BF732B"/>
    <w:rsid w:val="28E08668"/>
    <w:rsid w:val="29DFF6E7"/>
    <w:rsid w:val="2A32B575"/>
    <w:rsid w:val="2AD8D057"/>
    <w:rsid w:val="2B1E7288"/>
    <w:rsid w:val="2B7F84D5"/>
    <w:rsid w:val="2BAFA1AF"/>
    <w:rsid w:val="2C290A4D"/>
    <w:rsid w:val="2C47E9FE"/>
    <w:rsid w:val="2C8AFE68"/>
    <w:rsid w:val="2C9F3FAA"/>
    <w:rsid w:val="2CF828C0"/>
    <w:rsid w:val="2D22D75C"/>
    <w:rsid w:val="2DB74746"/>
    <w:rsid w:val="2E09A7A5"/>
    <w:rsid w:val="2E3BAB46"/>
    <w:rsid w:val="2E8A776A"/>
    <w:rsid w:val="2F18B122"/>
    <w:rsid w:val="2F2232F2"/>
    <w:rsid w:val="30E344A1"/>
    <w:rsid w:val="31EDD62E"/>
    <w:rsid w:val="326D9F23"/>
    <w:rsid w:val="32C31C85"/>
    <w:rsid w:val="32EB730F"/>
    <w:rsid w:val="343185A5"/>
    <w:rsid w:val="34C7B4DD"/>
    <w:rsid w:val="34E19965"/>
    <w:rsid w:val="353009E5"/>
    <w:rsid w:val="353EA17C"/>
    <w:rsid w:val="357088E7"/>
    <w:rsid w:val="35D9ADE7"/>
    <w:rsid w:val="37322DF1"/>
    <w:rsid w:val="37342430"/>
    <w:rsid w:val="37390832"/>
    <w:rsid w:val="37A7018F"/>
    <w:rsid w:val="37E00656"/>
    <w:rsid w:val="3861DA71"/>
    <w:rsid w:val="38CBEAA7"/>
    <w:rsid w:val="396FD0F1"/>
    <w:rsid w:val="397F30E0"/>
    <w:rsid w:val="399FC7E8"/>
    <w:rsid w:val="39ACAFAF"/>
    <w:rsid w:val="3A6770D3"/>
    <w:rsid w:val="3A72BCBB"/>
    <w:rsid w:val="3A8B11F3"/>
    <w:rsid w:val="3B06D9D7"/>
    <w:rsid w:val="3B84C06E"/>
    <w:rsid w:val="3BD7B428"/>
    <w:rsid w:val="3C2AC7B5"/>
    <w:rsid w:val="3C57449A"/>
    <w:rsid w:val="3C61CECC"/>
    <w:rsid w:val="3CC31493"/>
    <w:rsid w:val="3D0CC5FF"/>
    <w:rsid w:val="3D32A500"/>
    <w:rsid w:val="3D80C8AF"/>
    <w:rsid w:val="3DC53E1F"/>
    <w:rsid w:val="3DDF8B28"/>
    <w:rsid w:val="3E524B61"/>
    <w:rsid w:val="3EA5C11B"/>
    <w:rsid w:val="3F534522"/>
    <w:rsid w:val="3F7337FA"/>
    <w:rsid w:val="3F81117A"/>
    <w:rsid w:val="3FE69A59"/>
    <w:rsid w:val="407926C2"/>
    <w:rsid w:val="40BA67E4"/>
    <w:rsid w:val="413CE1EE"/>
    <w:rsid w:val="41BAF0EB"/>
    <w:rsid w:val="41C45D40"/>
    <w:rsid w:val="41CA8609"/>
    <w:rsid w:val="41E5FD5A"/>
    <w:rsid w:val="425EE1E3"/>
    <w:rsid w:val="426E2C46"/>
    <w:rsid w:val="4273F955"/>
    <w:rsid w:val="427F6E8B"/>
    <w:rsid w:val="43CD654B"/>
    <w:rsid w:val="440E9584"/>
    <w:rsid w:val="4416A27E"/>
    <w:rsid w:val="460337A6"/>
    <w:rsid w:val="46433034"/>
    <w:rsid w:val="4666409A"/>
    <w:rsid w:val="46DF3A69"/>
    <w:rsid w:val="4760AC22"/>
    <w:rsid w:val="48428A48"/>
    <w:rsid w:val="48781A2E"/>
    <w:rsid w:val="489073C9"/>
    <w:rsid w:val="48C32D04"/>
    <w:rsid w:val="48D17283"/>
    <w:rsid w:val="49AE63CE"/>
    <w:rsid w:val="4A3F1CDC"/>
    <w:rsid w:val="4B24119E"/>
    <w:rsid w:val="4C4F63CF"/>
    <w:rsid w:val="4CB7DF49"/>
    <w:rsid w:val="4DBD843B"/>
    <w:rsid w:val="4DC32845"/>
    <w:rsid w:val="4E0E42A5"/>
    <w:rsid w:val="4E160D1E"/>
    <w:rsid w:val="4F08126E"/>
    <w:rsid w:val="4F12596C"/>
    <w:rsid w:val="4FA5F634"/>
    <w:rsid w:val="502E95AE"/>
    <w:rsid w:val="50F041D2"/>
    <w:rsid w:val="516F4603"/>
    <w:rsid w:val="519CA20D"/>
    <w:rsid w:val="5278AAFE"/>
    <w:rsid w:val="52891150"/>
    <w:rsid w:val="52B505BD"/>
    <w:rsid w:val="53B400D9"/>
    <w:rsid w:val="54CDB341"/>
    <w:rsid w:val="54EB8801"/>
    <w:rsid w:val="5538ECE5"/>
    <w:rsid w:val="555F5D53"/>
    <w:rsid w:val="55A8D349"/>
    <w:rsid w:val="56297130"/>
    <w:rsid w:val="5650F6E2"/>
    <w:rsid w:val="567177A6"/>
    <w:rsid w:val="5757EA8C"/>
    <w:rsid w:val="57D98359"/>
    <w:rsid w:val="58DAA081"/>
    <w:rsid w:val="59E04895"/>
    <w:rsid w:val="59E6E86A"/>
    <w:rsid w:val="5A375D84"/>
    <w:rsid w:val="5ADB3742"/>
    <w:rsid w:val="5B074ED0"/>
    <w:rsid w:val="5B6845BA"/>
    <w:rsid w:val="5B79B9F6"/>
    <w:rsid w:val="5BEE23D5"/>
    <w:rsid w:val="5C20B034"/>
    <w:rsid w:val="5CF79824"/>
    <w:rsid w:val="5DF9371F"/>
    <w:rsid w:val="5E6076B6"/>
    <w:rsid w:val="5EDF2F1D"/>
    <w:rsid w:val="5F1BDED3"/>
    <w:rsid w:val="5FBA4336"/>
    <w:rsid w:val="607379B5"/>
    <w:rsid w:val="611F08A6"/>
    <w:rsid w:val="612123BF"/>
    <w:rsid w:val="62053061"/>
    <w:rsid w:val="637BA72B"/>
    <w:rsid w:val="63B65151"/>
    <w:rsid w:val="63F349A7"/>
    <w:rsid w:val="65CBC2D3"/>
    <w:rsid w:val="66348502"/>
    <w:rsid w:val="6719181A"/>
    <w:rsid w:val="676FC2F3"/>
    <w:rsid w:val="682EC0B9"/>
    <w:rsid w:val="685AAB52"/>
    <w:rsid w:val="6868E05D"/>
    <w:rsid w:val="68DA5B4B"/>
    <w:rsid w:val="691BE5D9"/>
    <w:rsid w:val="694EEE86"/>
    <w:rsid w:val="699975CB"/>
    <w:rsid w:val="6B0A5B62"/>
    <w:rsid w:val="6B2ADA4B"/>
    <w:rsid w:val="6B5BA2B9"/>
    <w:rsid w:val="6B7A93AE"/>
    <w:rsid w:val="6BAB3031"/>
    <w:rsid w:val="6C780C47"/>
    <w:rsid w:val="6CBAB007"/>
    <w:rsid w:val="6DAA615C"/>
    <w:rsid w:val="6DB23768"/>
    <w:rsid w:val="6DE4F44E"/>
    <w:rsid w:val="6DE75C15"/>
    <w:rsid w:val="6E931CAD"/>
    <w:rsid w:val="6F312FAA"/>
    <w:rsid w:val="6F4D9C08"/>
    <w:rsid w:val="6FE68829"/>
    <w:rsid w:val="6FF245C8"/>
    <w:rsid w:val="6FF6F65B"/>
    <w:rsid w:val="6FFFD6DF"/>
    <w:rsid w:val="703067AC"/>
    <w:rsid w:val="7106EBEB"/>
    <w:rsid w:val="71447173"/>
    <w:rsid w:val="717F0995"/>
    <w:rsid w:val="7237D23B"/>
    <w:rsid w:val="7317D2BF"/>
    <w:rsid w:val="73DCDC0C"/>
    <w:rsid w:val="74011BA0"/>
    <w:rsid w:val="74723445"/>
    <w:rsid w:val="74BEADC0"/>
    <w:rsid w:val="74CD026B"/>
    <w:rsid w:val="75473FEB"/>
    <w:rsid w:val="757A191A"/>
    <w:rsid w:val="75D72F65"/>
    <w:rsid w:val="75EE4F78"/>
    <w:rsid w:val="76533A0D"/>
    <w:rsid w:val="76A1227F"/>
    <w:rsid w:val="76B0E463"/>
    <w:rsid w:val="778A3EF6"/>
    <w:rsid w:val="77C2B62A"/>
    <w:rsid w:val="7800EF1F"/>
    <w:rsid w:val="78088D9E"/>
    <w:rsid w:val="781A22C7"/>
    <w:rsid w:val="7880D0AE"/>
    <w:rsid w:val="79397025"/>
    <w:rsid w:val="79DF2A2C"/>
    <w:rsid w:val="7A2C13C2"/>
    <w:rsid w:val="7AC4A85E"/>
    <w:rsid w:val="7AE1DC32"/>
    <w:rsid w:val="7B249F39"/>
    <w:rsid w:val="7B7D7DB7"/>
    <w:rsid w:val="7C30566D"/>
    <w:rsid w:val="7C4BE3E9"/>
    <w:rsid w:val="7D48A018"/>
    <w:rsid w:val="7D618194"/>
    <w:rsid w:val="7D944092"/>
    <w:rsid w:val="7E7DC0E4"/>
    <w:rsid w:val="7E92A651"/>
    <w:rsid w:val="7F3019CF"/>
    <w:rsid w:val="7F4A290F"/>
    <w:rsid w:val="7F77E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7CEFB"/>
  <w15:docId w15:val="{D7B1FDB7-6760-41BA-B6EA-354FE785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9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47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79B4"/>
  </w:style>
  <w:style w:type="character" w:customStyle="1" w:styleId="eop">
    <w:name w:val="eop"/>
    <w:basedOn w:val="DefaultParagraphFont"/>
    <w:rsid w:val="006479B4"/>
  </w:style>
  <w:style w:type="character" w:styleId="CommentReference">
    <w:name w:val="annotation reference"/>
    <w:basedOn w:val="DefaultParagraphFont"/>
    <w:uiPriority w:val="99"/>
    <w:semiHidden/>
    <w:unhideWhenUsed/>
    <w:rsid w:val="00351A11"/>
    <w:rPr>
      <w:sz w:val="16"/>
      <w:szCs w:val="16"/>
    </w:rPr>
  </w:style>
  <w:style w:type="paragraph" w:styleId="CommentText">
    <w:name w:val="annotation text"/>
    <w:basedOn w:val="Normal"/>
    <w:link w:val="CommentTextChar"/>
    <w:uiPriority w:val="99"/>
    <w:semiHidden/>
    <w:unhideWhenUsed/>
    <w:rsid w:val="00351A11"/>
    <w:pPr>
      <w:spacing w:line="240" w:lineRule="auto"/>
    </w:pPr>
    <w:rPr>
      <w:sz w:val="20"/>
      <w:szCs w:val="20"/>
    </w:rPr>
  </w:style>
  <w:style w:type="character" w:customStyle="1" w:styleId="CommentTextChar">
    <w:name w:val="Comment Text Char"/>
    <w:basedOn w:val="DefaultParagraphFont"/>
    <w:link w:val="CommentText"/>
    <w:uiPriority w:val="99"/>
    <w:semiHidden/>
    <w:rsid w:val="00351A11"/>
    <w:rPr>
      <w:sz w:val="20"/>
      <w:szCs w:val="20"/>
    </w:rPr>
  </w:style>
  <w:style w:type="paragraph" w:styleId="CommentSubject">
    <w:name w:val="annotation subject"/>
    <w:basedOn w:val="CommentText"/>
    <w:next w:val="CommentText"/>
    <w:link w:val="CommentSubjectChar"/>
    <w:uiPriority w:val="99"/>
    <w:semiHidden/>
    <w:unhideWhenUsed/>
    <w:rsid w:val="00351A11"/>
    <w:rPr>
      <w:b/>
      <w:bCs/>
    </w:rPr>
  </w:style>
  <w:style w:type="character" w:customStyle="1" w:styleId="CommentSubjectChar">
    <w:name w:val="Comment Subject Char"/>
    <w:basedOn w:val="CommentTextChar"/>
    <w:link w:val="CommentSubject"/>
    <w:uiPriority w:val="99"/>
    <w:semiHidden/>
    <w:rsid w:val="00351A11"/>
    <w:rPr>
      <w:b/>
      <w:bCs/>
      <w:sz w:val="20"/>
      <w:szCs w:val="20"/>
    </w:rPr>
  </w:style>
  <w:style w:type="paragraph" w:styleId="BalloonText">
    <w:name w:val="Balloon Text"/>
    <w:basedOn w:val="Normal"/>
    <w:link w:val="BalloonTextChar"/>
    <w:uiPriority w:val="99"/>
    <w:semiHidden/>
    <w:unhideWhenUsed/>
    <w:rsid w:val="00351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A11"/>
    <w:rPr>
      <w:rFonts w:ascii="Segoe UI" w:hAnsi="Segoe UI" w:cs="Segoe UI"/>
      <w:sz w:val="18"/>
      <w:szCs w:val="18"/>
    </w:rPr>
  </w:style>
  <w:style w:type="paragraph" w:styleId="FootnoteText">
    <w:name w:val="footnote text"/>
    <w:basedOn w:val="Normal"/>
    <w:link w:val="FootnoteTextChar"/>
    <w:uiPriority w:val="99"/>
    <w:semiHidden/>
    <w:unhideWhenUsed/>
    <w:rsid w:val="00F66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8A7"/>
    <w:rPr>
      <w:sz w:val="20"/>
      <w:szCs w:val="20"/>
    </w:rPr>
  </w:style>
  <w:style w:type="character" w:styleId="FootnoteReference">
    <w:name w:val="footnote reference"/>
    <w:basedOn w:val="DefaultParagraphFont"/>
    <w:uiPriority w:val="99"/>
    <w:semiHidden/>
    <w:unhideWhenUsed/>
    <w:rsid w:val="00F668A7"/>
    <w:rPr>
      <w:vertAlign w:val="superscript"/>
    </w:rPr>
  </w:style>
  <w:style w:type="paragraph" w:styleId="Header">
    <w:name w:val="header"/>
    <w:basedOn w:val="Normal"/>
    <w:link w:val="HeaderChar"/>
    <w:uiPriority w:val="99"/>
    <w:unhideWhenUsed/>
    <w:rsid w:val="0092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F0F"/>
  </w:style>
  <w:style w:type="paragraph" w:styleId="Footer">
    <w:name w:val="footer"/>
    <w:basedOn w:val="Normal"/>
    <w:link w:val="FooterChar"/>
    <w:uiPriority w:val="99"/>
    <w:unhideWhenUsed/>
    <w:rsid w:val="0092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F0F"/>
  </w:style>
  <w:style w:type="character" w:styleId="Hyperlink">
    <w:name w:val="Hyperlink"/>
    <w:basedOn w:val="DefaultParagraphFont"/>
    <w:uiPriority w:val="99"/>
    <w:unhideWhenUsed/>
    <w:rsid w:val="00114719"/>
    <w:rPr>
      <w:color w:val="0563C1" w:themeColor="hyperlink"/>
      <w:u w:val="single"/>
    </w:rPr>
  </w:style>
  <w:style w:type="paragraph" w:styleId="Revision">
    <w:name w:val="Revision"/>
    <w:hidden/>
    <w:uiPriority w:val="99"/>
    <w:semiHidden/>
    <w:rsid w:val="007E28DD"/>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7B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8832">
      <w:bodyDiv w:val="1"/>
      <w:marLeft w:val="0"/>
      <w:marRight w:val="0"/>
      <w:marTop w:val="0"/>
      <w:marBottom w:val="0"/>
      <w:divBdr>
        <w:top w:val="none" w:sz="0" w:space="0" w:color="auto"/>
        <w:left w:val="none" w:sz="0" w:space="0" w:color="auto"/>
        <w:bottom w:val="none" w:sz="0" w:space="0" w:color="auto"/>
        <w:right w:val="none" w:sz="0" w:space="0" w:color="auto"/>
      </w:divBdr>
    </w:div>
    <w:div w:id="41250999">
      <w:bodyDiv w:val="1"/>
      <w:marLeft w:val="0"/>
      <w:marRight w:val="0"/>
      <w:marTop w:val="0"/>
      <w:marBottom w:val="0"/>
      <w:divBdr>
        <w:top w:val="none" w:sz="0" w:space="0" w:color="auto"/>
        <w:left w:val="none" w:sz="0" w:space="0" w:color="auto"/>
        <w:bottom w:val="none" w:sz="0" w:space="0" w:color="auto"/>
        <w:right w:val="none" w:sz="0" w:space="0" w:color="auto"/>
      </w:divBdr>
      <w:divsChild>
        <w:div w:id="1925139373">
          <w:marLeft w:val="0"/>
          <w:marRight w:val="0"/>
          <w:marTop w:val="0"/>
          <w:marBottom w:val="0"/>
          <w:divBdr>
            <w:top w:val="none" w:sz="0" w:space="0" w:color="auto"/>
            <w:left w:val="none" w:sz="0" w:space="0" w:color="auto"/>
            <w:bottom w:val="none" w:sz="0" w:space="0" w:color="auto"/>
            <w:right w:val="none" w:sz="0" w:space="0" w:color="auto"/>
          </w:divBdr>
        </w:div>
        <w:div w:id="1072627937">
          <w:marLeft w:val="0"/>
          <w:marRight w:val="0"/>
          <w:marTop w:val="0"/>
          <w:marBottom w:val="0"/>
          <w:divBdr>
            <w:top w:val="none" w:sz="0" w:space="0" w:color="auto"/>
            <w:left w:val="none" w:sz="0" w:space="0" w:color="auto"/>
            <w:bottom w:val="none" w:sz="0" w:space="0" w:color="auto"/>
            <w:right w:val="none" w:sz="0" w:space="0" w:color="auto"/>
          </w:divBdr>
        </w:div>
        <w:div w:id="946733203">
          <w:marLeft w:val="0"/>
          <w:marRight w:val="0"/>
          <w:marTop w:val="0"/>
          <w:marBottom w:val="0"/>
          <w:divBdr>
            <w:top w:val="none" w:sz="0" w:space="0" w:color="auto"/>
            <w:left w:val="none" w:sz="0" w:space="0" w:color="auto"/>
            <w:bottom w:val="none" w:sz="0" w:space="0" w:color="auto"/>
            <w:right w:val="none" w:sz="0" w:space="0" w:color="auto"/>
          </w:divBdr>
        </w:div>
        <w:div w:id="2139293476">
          <w:marLeft w:val="0"/>
          <w:marRight w:val="0"/>
          <w:marTop w:val="0"/>
          <w:marBottom w:val="0"/>
          <w:divBdr>
            <w:top w:val="none" w:sz="0" w:space="0" w:color="auto"/>
            <w:left w:val="none" w:sz="0" w:space="0" w:color="auto"/>
            <w:bottom w:val="none" w:sz="0" w:space="0" w:color="auto"/>
            <w:right w:val="none" w:sz="0" w:space="0" w:color="auto"/>
          </w:divBdr>
        </w:div>
        <w:div w:id="18631325">
          <w:marLeft w:val="0"/>
          <w:marRight w:val="0"/>
          <w:marTop w:val="0"/>
          <w:marBottom w:val="0"/>
          <w:divBdr>
            <w:top w:val="none" w:sz="0" w:space="0" w:color="auto"/>
            <w:left w:val="none" w:sz="0" w:space="0" w:color="auto"/>
            <w:bottom w:val="none" w:sz="0" w:space="0" w:color="auto"/>
            <w:right w:val="none" w:sz="0" w:space="0" w:color="auto"/>
          </w:divBdr>
        </w:div>
        <w:div w:id="1948000590">
          <w:marLeft w:val="0"/>
          <w:marRight w:val="0"/>
          <w:marTop w:val="0"/>
          <w:marBottom w:val="0"/>
          <w:divBdr>
            <w:top w:val="none" w:sz="0" w:space="0" w:color="auto"/>
            <w:left w:val="none" w:sz="0" w:space="0" w:color="auto"/>
            <w:bottom w:val="none" w:sz="0" w:space="0" w:color="auto"/>
            <w:right w:val="none" w:sz="0" w:space="0" w:color="auto"/>
          </w:divBdr>
        </w:div>
        <w:div w:id="1095518206">
          <w:marLeft w:val="0"/>
          <w:marRight w:val="0"/>
          <w:marTop w:val="0"/>
          <w:marBottom w:val="0"/>
          <w:divBdr>
            <w:top w:val="none" w:sz="0" w:space="0" w:color="auto"/>
            <w:left w:val="none" w:sz="0" w:space="0" w:color="auto"/>
            <w:bottom w:val="none" w:sz="0" w:space="0" w:color="auto"/>
            <w:right w:val="none" w:sz="0" w:space="0" w:color="auto"/>
          </w:divBdr>
        </w:div>
        <w:div w:id="30615049">
          <w:marLeft w:val="0"/>
          <w:marRight w:val="0"/>
          <w:marTop w:val="0"/>
          <w:marBottom w:val="0"/>
          <w:divBdr>
            <w:top w:val="none" w:sz="0" w:space="0" w:color="auto"/>
            <w:left w:val="none" w:sz="0" w:space="0" w:color="auto"/>
            <w:bottom w:val="none" w:sz="0" w:space="0" w:color="auto"/>
            <w:right w:val="none" w:sz="0" w:space="0" w:color="auto"/>
          </w:divBdr>
        </w:div>
        <w:div w:id="689794875">
          <w:marLeft w:val="0"/>
          <w:marRight w:val="0"/>
          <w:marTop w:val="0"/>
          <w:marBottom w:val="0"/>
          <w:divBdr>
            <w:top w:val="none" w:sz="0" w:space="0" w:color="auto"/>
            <w:left w:val="none" w:sz="0" w:space="0" w:color="auto"/>
            <w:bottom w:val="none" w:sz="0" w:space="0" w:color="auto"/>
            <w:right w:val="none" w:sz="0" w:space="0" w:color="auto"/>
          </w:divBdr>
        </w:div>
        <w:div w:id="1186166641">
          <w:marLeft w:val="0"/>
          <w:marRight w:val="0"/>
          <w:marTop w:val="0"/>
          <w:marBottom w:val="0"/>
          <w:divBdr>
            <w:top w:val="none" w:sz="0" w:space="0" w:color="auto"/>
            <w:left w:val="none" w:sz="0" w:space="0" w:color="auto"/>
            <w:bottom w:val="none" w:sz="0" w:space="0" w:color="auto"/>
            <w:right w:val="none" w:sz="0" w:space="0" w:color="auto"/>
          </w:divBdr>
        </w:div>
        <w:div w:id="1141456369">
          <w:marLeft w:val="0"/>
          <w:marRight w:val="0"/>
          <w:marTop w:val="0"/>
          <w:marBottom w:val="0"/>
          <w:divBdr>
            <w:top w:val="none" w:sz="0" w:space="0" w:color="auto"/>
            <w:left w:val="none" w:sz="0" w:space="0" w:color="auto"/>
            <w:bottom w:val="none" w:sz="0" w:space="0" w:color="auto"/>
            <w:right w:val="none" w:sz="0" w:space="0" w:color="auto"/>
          </w:divBdr>
        </w:div>
        <w:div w:id="1613245238">
          <w:marLeft w:val="0"/>
          <w:marRight w:val="0"/>
          <w:marTop w:val="0"/>
          <w:marBottom w:val="0"/>
          <w:divBdr>
            <w:top w:val="none" w:sz="0" w:space="0" w:color="auto"/>
            <w:left w:val="none" w:sz="0" w:space="0" w:color="auto"/>
            <w:bottom w:val="none" w:sz="0" w:space="0" w:color="auto"/>
            <w:right w:val="none" w:sz="0" w:space="0" w:color="auto"/>
          </w:divBdr>
        </w:div>
        <w:div w:id="1127702450">
          <w:marLeft w:val="0"/>
          <w:marRight w:val="0"/>
          <w:marTop w:val="0"/>
          <w:marBottom w:val="0"/>
          <w:divBdr>
            <w:top w:val="none" w:sz="0" w:space="0" w:color="auto"/>
            <w:left w:val="none" w:sz="0" w:space="0" w:color="auto"/>
            <w:bottom w:val="none" w:sz="0" w:space="0" w:color="auto"/>
            <w:right w:val="none" w:sz="0" w:space="0" w:color="auto"/>
          </w:divBdr>
        </w:div>
        <w:div w:id="1270241453">
          <w:marLeft w:val="0"/>
          <w:marRight w:val="0"/>
          <w:marTop w:val="0"/>
          <w:marBottom w:val="0"/>
          <w:divBdr>
            <w:top w:val="none" w:sz="0" w:space="0" w:color="auto"/>
            <w:left w:val="none" w:sz="0" w:space="0" w:color="auto"/>
            <w:bottom w:val="none" w:sz="0" w:space="0" w:color="auto"/>
            <w:right w:val="none" w:sz="0" w:space="0" w:color="auto"/>
          </w:divBdr>
        </w:div>
      </w:divsChild>
    </w:div>
    <w:div w:id="605698961">
      <w:bodyDiv w:val="1"/>
      <w:marLeft w:val="0"/>
      <w:marRight w:val="0"/>
      <w:marTop w:val="0"/>
      <w:marBottom w:val="0"/>
      <w:divBdr>
        <w:top w:val="none" w:sz="0" w:space="0" w:color="auto"/>
        <w:left w:val="none" w:sz="0" w:space="0" w:color="auto"/>
        <w:bottom w:val="none" w:sz="0" w:space="0" w:color="auto"/>
        <w:right w:val="none" w:sz="0" w:space="0" w:color="auto"/>
      </w:divBdr>
    </w:div>
    <w:div w:id="858154167">
      <w:bodyDiv w:val="1"/>
      <w:marLeft w:val="0"/>
      <w:marRight w:val="0"/>
      <w:marTop w:val="0"/>
      <w:marBottom w:val="0"/>
      <w:divBdr>
        <w:top w:val="none" w:sz="0" w:space="0" w:color="auto"/>
        <w:left w:val="none" w:sz="0" w:space="0" w:color="auto"/>
        <w:bottom w:val="none" w:sz="0" w:space="0" w:color="auto"/>
        <w:right w:val="none" w:sz="0" w:space="0" w:color="auto"/>
      </w:divBdr>
      <w:divsChild>
        <w:div w:id="197394627">
          <w:marLeft w:val="0"/>
          <w:marRight w:val="0"/>
          <w:marTop w:val="0"/>
          <w:marBottom w:val="0"/>
          <w:divBdr>
            <w:top w:val="none" w:sz="0" w:space="0" w:color="auto"/>
            <w:left w:val="none" w:sz="0" w:space="0" w:color="auto"/>
            <w:bottom w:val="none" w:sz="0" w:space="0" w:color="auto"/>
            <w:right w:val="none" w:sz="0" w:space="0" w:color="auto"/>
          </w:divBdr>
        </w:div>
        <w:div w:id="1311061594">
          <w:marLeft w:val="0"/>
          <w:marRight w:val="0"/>
          <w:marTop w:val="0"/>
          <w:marBottom w:val="0"/>
          <w:divBdr>
            <w:top w:val="none" w:sz="0" w:space="0" w:color="auto"/>
            <w:left w:val="none" w:sz="0" w:space="0" w:color="auto"/>
            <w:bottom w:val="none" w:sz="0" w:space="0" w:color="auto"/>
            <w:right w:val="none" w:sz="0" w:space="0" w:color="auto"/>
          </w:divBdr>
        </w:div>
        <w:div w:id="627470330">
          <w:marLeft w:val="0"/>
          <w:marRight w:val="0"/>
          <w:marTop w:val="0"/>
          <w:marBottom w:val="0"/>
          <w:divBdr>
            <w:top w:val="none" w:sz="0" w:space="0" w:color="auto"/>
            <w:left w:val="none" w:sz="0" w:space="0" w:color="auto"/>
            <w:bottom w:val="none" w:sz="0" w:space="0" w:color="auto"/>
            <w:right w:val="none" w:sz="0" w:space="0" w:color="auto"/>
          </w:divBdr>
        </w:div>
        <w:div w:id="1656451860">
          <w:marLeft w:val="0"/>
          <w:marRight w:val="0"/>
          <w:marTop w:val="0"/>
          <w:marBottom w:val="0"/>
          <w:divBdr>
            <w:top w:val="none" w:sz="0" w:space="0" w:color="auto"/>
            <w:left w:val="none" w:sz="0" w:space="0" w:color="auto"/>
            <w:bottom w:val="none" w:sz="0" w:space="0" w:color="auto"/>
            <w:right w:val="none" w:sz="0" w:space="0" w:color="auto"/>
          </w:divBdr>
        </w:div>
        <w:div w:id="1590769344">
          <w:marLeft w:val="0"/>
          <w:marRight w:val="0"/>
          <w:marTop w:val="0"/>
          <w:marBottom w:val="0"/>
          <w:divBdr>
            <w:top w:val="none" w:sz="0" w:space="0" w:color="auto"/>
            <w:left w:val="none" w:sz="0" w:space="0" w:color="auto"/>
            <w:bottom w:val="none" w:sz="0" w:space="0" w:color="auto"/>
            <w:right w:val="none" w:sz="0" w:space="0" w:color="auto"/>
          </w:divBdr>
        </w:div>
        <w:div w:id="1976715313">
          <w:marLeft w:val="0"/>
          <w:marRight w:val="0"/>
          <w:marTop w:val="0"/>
          <w:marBottom w:val="0"/>
          <w:divBdr>
            <w:top w:val="none" w:sz="0" w:space="0" w:color="auto"/>
            <w:left w:val="none" w:sz="0" w:space="0" w:color="auto"/>
            <w:bottom w:val="none" w:sz="0" w:space="0" w:color="auto"/>
            <w:right w:val="none" w:sz="0" w:space="0" w:color="auto"/>
          </w:divBdr>
        </w:div>
        <w:div w:id="430050365">
          <w:marLeft w:val="0"/>
          <w:marRight w:val="0"/>
          <w:marTop w:val="0"/>
          <w:marBottom w:val="0"/>
          <w:divBdr>
            <w:top w:val="none" w:sz="0" w:space="0" w:color="auto"/>
            <w:left w:val="none" w:sz="0" w:space="0" w:color="auto"/>
            <w:bottom w:val="none" w:sz="0" w:space="0" w:color="auto"/>
            <w:right w:val="none" w:sz="0" w:space="0" w:color="auto"/>
          </w:divBdr>
        </w:div>
        <w:div w:id="79134691">
          <w:marLeft w:val="0"/>
          <w:marRight w:val="0"/>
          <w:marTop w:val="0"/>
          <w:marBottom w:val="0"/>
          <w:divBdr>
            <w:top w:val="none" w:sz="0" w:space="0" w:color="auto"/>
            <w:left w:val="none" w:sz="0" w:space="0" w:color="auto"/>
            <w:bottom w:val="none" w:sz="0" w:space="0" w:color="auto"/>
            <w:right w:val="none" w:sz="0" w:space="0" w:color="auto"/>
          </w:divBdr>
        </w:div>
        <w:div w:id="1388722219">
          <w:marLeft w:val="0"/>
          <w:marRight w:val="0"/>
          <w:marTop w:val="0"/>
          <w:marBottom w:val="0"/>
          <w:divBdr>
            <w:top w:val="none" w:sz="0" w:space="0" w:color="auto"/>
            <w:left w:val="none" w:sz="0" w:space="0" w:color="auto"/>
            <w:bottom w:val="none" w:sz="0" w:space="0" w:color="auto"/>
            <w:right w:val="none" w:sz="0" w:space="0" w:color="auto"/>
          </w:divBdr>
        </w:div>
        <w:div w:id="1693804011">
          <w:marLeft w:val="0"/>
          <w:marRight w:val="0"/>
          <w:marTop w:val="0"/>
          <w:marBottom w:val="0"/>
          <w:divBdr>
            <w:top w:val="none" w:sz="0" w:space="0" w:color="auto"/>
            <w:left w:val="none" w:sz="0" w:space="0" w:color="auto"/>
            <w:bottom w:val="none" w:sz="0" w:space="0" w:color="auto"/>
            <w:right w:val="none" w:sz="0" w:space="0" w:color="auto"/>
          </w:divBdr>
        </w:div>
        <w:div w:id="454442922">
          <w:marLeft w:val="0"/>
          <w:marRight w:val="0"/>
          <w:marTop w:val="0"/>
          <w:marBottom w:val="0"/>
          <w:divBdr>
            <w:top w:val="none" w:sz="0" w:space="0" w:color="auto"/>
            <w:left w:val="none" w:sz="0" w:space="0" w:color="auto"/>
            <w:bottom w:val="none" w:sz="0" w:space="0" w:color="auto"/>
            <w:right w:val="none" w:sz="0" w:space="0" w:color="auto"/>
          </w:divBdr>
        </w:div>
        <w:div w:id="1833258171">
          <w:marLeft w:val="0"/>
          <w:marRight w:val="0"/>
          <w:marTop w:val="0"/>
          <w:marBottom w:val="0"/>
          <w:divBdr>
            <w:top w:val="none" w:sz="0" w:space="0" w:color="auto"/>
            <w:left w:val="none" w:sz="0" w:space="0" w:color="auto"/>
            <w:bottom w:val="none" w:sz="0" w:space="0" w:color="auto"/>
            <w:right w:val="none" w:sz="0" w:space="0" w:color="auto"/>
          </w:divBdr>
        </w:div>
        <w:div w:id="875894096">
          <w:marLeft w:val="0"/>
          <w:marRight w:val="0"/>
          <w:marTop w:val="0"/>
          <w:marBottom w:val="0"/>
          <w:divBdr>
            <w:top w:val="none" w:sz="0" w:space="0" w:color="auto"/>
            <w:left w:val="none" w:sz="0" w:space="0" w:color="auto"/>
            <w:bottom w:val="none" w:sz="0" w:space="0" w:color="auto"/>
            <w:right w:val="none" w:sz="0" w:space="0" w:color="auto"/>
          </w:divBdr>
        </w:div>
        <w:div w:id="481579311">
          <w:marLeft w:val="0"/>
          <w:marRight w:val="0"/>
          <w:marTop w:val="0"/>
          <w:marBottom w:val="0"/>
          <w:divBdr>
            <w:top w:val="none" w:sz="0" w:space="0" w:color="auto"/>
            <w:left w:val="none" w:sz="0" w:space="0" w:color="auto"/>
            <w:bottom w:val="none" w:sz="0" w:space="0" w:color="auto"/>
            <w:right w:val="none" w:sz="0" w:space="0" w:color="auto"/>
          </w:divBdr>
        </w:div>
        <w:div w:id="175121152">
          <w:marLeft w:val="0"/>
          <w:marRight w:val="0"/>
          <w:marTop w:val="0"/>
          <w:marBottom w:val="0"/>
          <w:divBdr>
            <w:top w:val="none" w:sz="0" w:space="0" w:color="auto"/>
            <w:left w:val="none" w:sz="0" w:space="0" w:color="auto"/>
            <w:bottom w:val="none" w:sz="0" w:space="0" w:color="auto"/>
            <w:right w:val="none" w:sz="0" w:space="0" w:color="auto"/>
          </w:divBdr>
        </w:div>
        <w:div w:id="996810598">
          <w:marLeft w:val="0"/>
          <w:marRight w:val="0"/>
          <w:marTop w:val="0"/>
          <w:marBottom w:val="0"/>
          <w:divBdr>
            <w:top w:val="none" w:sz="0" w:space="0" w:color="auto"/>
            <w:left w:val="none" w:sz="0" w:space="0" w:color="auto"/>
            <w:bottom w:val="none" w:sz="0" w:space="0" w:color="auto"/>
            <w:right w:val="none" w:sz="0" w:space="0" w:color="auto"/>
          </w:divBdr>
        </w:div>
        <w:div w:id="474840304">
          <w:marLeft w:val="0"/>
          <w:marRight w:val="0"/>
          <w:marTop w:val="0"/>
          <w:marBottom w:val="0"/>
          <w:divBdr>
            <w:top w:val="none" w:sz="0" w:space="0" w:color="auto"/>
            <w:left w:val="none" w:sz="0" w:space="0" w:color="auto"/>
            <w:bottom w:val="none" w:sz="0" w:space="0" w:color="auto"/>
            <w:right w:val="none" w:sz="0" w:space="0" w:color="auto"/>
          </w:divBdr>
        </w:div>
        <w:div w:id="983587292">
          <w:marLeft w:val="0"/>
          <w:marRight w:val="0"/>
          <w:marTop w:val="0"/>
          <w:marBottom w:val="0"/>
          <w:divBdr>
            <w:top w:val="none" w:sz="0" w:space="0" w:color="auto"/>
            <w:left w:val="none" w:sz="0" w:space="0" w:color="auto"/>
            <w:bottom w:val="none" w:sz="0" w:space="0" w:color="auto"/>
            <w:right w:val="none" w:sz="0" w:space="0" w:color="auto"/>
          </w:divBdr>
        </w:div>
        <w:div w:id="1921213438">
          <w:marLeft w:val="0"/>
          <w:marRight w:val="0"/>
          <w:marTop w:val="0"/>
          <w:marBottom w:val="0"/>
          <w:divBdr>
            <w:top w:val="none" w:sz="0" w:space="0" w:color="auto"/>
            <w:left w:val="none" w:sz="0" w:space="0" w:color="auto"/>
            <w:bottom w:val="none" w:sz="0" w:space="0" w:color="auto"/>
            <w:right w:val="none" w:sz="0" w:space="0" w:color="auto"/>
          </w:divBdr>
        </w:div>
        <w:div w:id="570820383">
          <w:marLeft w:val="0"/>
          <w:marRight w:val="0"/>
          <w:marTop w:val="0"/>
          <w:marBottom w:val="0"/>
          <w:divBdr>
            <w:top w:val="none" w:sz="0" w:space="0" w:color="auto"/>
            <w:left w:val="none" w:sz="0" w:space="0" w:color="auto"/>
            <w:bottom w:val="none" w:sz="0" w:space="0" w:color="auto"/>
            <w:right w:val="none" w:sz="0" w:space="0" w:color="auto"/>
          </w:divBdr>
        </w:div>
        <w:div w:id="1289125364">
          <w:marLeft w:val="0"/>
          <w:marRight w:val="0"/>
          <w:marTop w:val="0"/>
          <w:marBottom w:val="0"/>
          <w:divBdr>
            <w:top w:val="none" w:sz="0" w:space="0" w:color="auto"/>
            <w:left w:val="none" w:sz="0" w:space="0" w:color="auto"/>
            <w:bottom w:val="none" w:sz="0" w:space="0" w:color="auto"/>
            <w:right w:val="none" w:sz="0" w:space="0" w:color="auto"/>
          </w:divBdr>
        </w:div>
        <w:div w:id="561407810">
          <w:marLeft w:val="0"/>
          <w:marRight w:val="0"/>
          <w:marTop w:val="0"/>
          <w:marBottom w:val="0"/>
          <w:divBdr>
            <w:top w:val="none" w:sz="0" w:space="0" w:color="auto"/>
            <w:left w:val="none" w:sz="0" w:space="0" w:color="auto"/>
            <w:bottom w:val="none" w:sz="0" w:space="0" w:color="auto"/>
            <w:right w:val="none" w:sz="0" w:space="0" w:color="auto"/>
          </w:divBdr>
        </w:div>
        <w:div w:id="1701272160">
          <w:marLeft w:val="0"/>
          <w:marRight w:val="0"/>
          <w:marTop w:val="0"/>
          <w:marBottom w:val="0"/>
          <w:divBdr>
            <w:top w:val="none" w:sz="0" w:space="0" w:color="auto"/>
            <w:left w:val="none" w:sz="0" w:space="0" w:color="auto"/>
            <w:bottom w:val="none" w:sz="0" w:space="0" w:color="auto"/>
            <w:right w:val="none" w:sz="0" w:space="0" w:color="auto"/>
          </w:divBdr>
        </w:div>
        <w:div w:id="756291188">
          <w:marLeft w:val="0"/>
          <w:marRight w:val="0"/>
          <w:marTop w:val="0"/>
          <w:marBottom w:val="0"/>
          <w:divBdr>
            <w:top w:val="none" w:sz="0" w:space="0" w:color="auto"/>
            <w:left w:val="none" w:sz="0" w:space="0" w:color="auto"/>
            <w:bottom w:val="none" w:sz="0" w:space="0" w:color="auto"/>
            <w:right w:val="none" w:sz="0" w:space="0" w:color="auto"/>
          </w:divBdr>
        </w:div>
        <w:div w:id="20782262">
          <w:marLeft w:val="0"/>
          <w:marRight w:val="0"/>
          <w:marTop w:val="0"/>
          <w:marBottom w:val="0"/>
          <w:divBdr>
            <w:top w:val="none" w:sz="0" w:space="0" w:color="auto"/>
            <w:left w:val="none" w:sz="0" w:space="0" w:color="auto"/>
            <w:bottom w:val="none" w:sz="0" w:space="0" w:color="auto"/>
            <w:right w:val="none" w:sz="0" w:space="0" w:color="auto"/>
          </w:divBdr>
        </w:div>
        <w:div w:id="1965888642">
          <w:marLeft w:val="0"/>
          <w:marRight w:val="0"/>
          <w:marTop w:val="0"/>
          <w:marBottom w:val="0"/>
          <w:divBdr>
            <w:top w:val="none" w:sz="0" w:space="0" w:color="auto"/>
            <w:left w:val="none" w:sz="0" w:space="0" w:color="auto"/>
            <w:bottom w:val="none" w:sz="0" w:space="0" w:color="auto"/>
            <w:right w:val="none" w:sz="0" w:space="0" w:color="auto"/>
          </w:divBdr>
        </w:div>
        <w:div w:id="1180973984">
          <w:marLeft w:val="0"/>
          <w:marRight w:val="0"/>
          <w:marTop w:val="0"/>
          <w:marBottom w:val="0"/>
          <w:divBdr>
            <w:top w:val="none" w:sz="0" w:space="0" w:color="auto"/>
            <w:left w:val="none" w:sz="0" w:space="0" w:color="auto"/>
            <w:bottom w:val="none" w:sz="0" w:space="0" w:color="auto"/>
            <w:right w:val="none" w:sz="0" w:space="0" w:color="auto"/>
          </w:divBdr>
        </w:div>
        <w:div w:id="2033723279">
          <w:marLeft w:val="0"/>
          <w:marRight w:val="0"/>
          <w:marTop w:val="0"/>
          <w:marBottom w:val="0"/>
          <w:divBdr>
            <w:top w:val="none" w:sz="0" w:space="0" w:color="auto"/>
            <w:left w:val="none" w:sz="0" w:space="0" w:color="auto"/>
            <w:bottom w:val="none" w:sz="0" w:space="0" w:color="auto"/>
            <w:right w:val="none" w:sz="0" w:space="0" w:color="auto"/>
          </w:divBdr>
        </w:div>
      </w:divsChild>
    </w:div>
    <w:div w:id="990910059">
      <w:bodyDiv w:val="1"/>
      <w:marLeft w:val="0"/>
      <w:marRight w:val="0"/>
      <w:marTop w:val="0"/>
      <w:marBottom w:val="0"/>
      <w:divBdr>
        <w:top w:val="none" w:sz="0" w:space="0" w:color="auto"/>
        <w:left w:val="none" w:sz="0" w:space="0" w:color="auto"/>
        <w:bottom w:val="none" w:sz="0" w:space="0" w:color="auto"/>
        <w:right w:val="none" w:sz="0" w:space="0" w:color="auto"/>
      </w:divBdr>
    </w:div>
    <w:div w:id="1528903673">
      <w:bodyDiv w:val="1"/>
      <w:marLeft w:val="0"/>
      <w:marRight w:val="0"/>
      <w:marTop w:val="0"/>
      <w:marBottom w:val="0"/>
      <w:divBdr>
        <w:top w:val="none" w:sz="0" w:space="0" w:color="auto"/>
        <w:left w:val="none" w:sz="0" w:space="0" w:color="auto"/>
        <w:bottom w:val="none" w:sz="0" w:space="0" w:color="auto"/>
        <w:right w:val="none" w:sz="0" w:space="0" w:color="auto"/>
      </w:divBdr>
      <w:divsChild>
        <w:div w:id="2080245541">
          <w:marLeft w:val="0"/>
          <w:marRight w:val="0"/>
          <w:marTop w:val="0"/>
          <w:marBottom w:val="0"/>
          <w:divBdr>
            <w:top w:val="none" w:sz="0" w:space="0" w:color="auto"/>
            <w:left w:val="none" w:sz="0" w:space="0" w:color="auto"/>
            <w:bottom w:val="none" w:sz="0" w:space="0" w:color="auto"/>
            <w:right w:val="none" w:sz="0" w:space="0" w:color="auto"/>
          </w:divBdr>
        </w:div>
        <w:div w:id="600339043">
          <w:marLeft w:val="0"/>
          <w:marRight w:val="0"/>
          <w:marTop w:val="0"/>
          <w:marBottom w:val="0"/>
          <w:divBdr>
            <w:top w:val="none" w:sz="0" w:space="0" w:color="auto"/>
            <w:left w:val="none" w:sz="0" w:space="0" w:color="auto"/>
            <w:bottom w:val="none" w:sz="0" w:space="0" w:color="auto"/>
            <w:right w:val="none" w:sz="0" w:space="0" w:color="auto"/>
          </w:divBdr>
        </w:div>
        <w:div w:id="1572738272">
          <w:marLeft w:val="0"/>
          <w:marRight w:val="0"/>
          <w:marTop w:val="0"/>
          <w:marBottom w:val="0"/>
          <w:divBdr>
            <w:top w:val="none" w:sz="0" w:space="0" w:color="auto"/>
            <w:left w:val="none" w:sz="0" w:space="0" w:color="auto"/>
            <w:bottom w:val="none" w:sz="0" w:space="0" w:color="auto"/>
            <w:right w:val="none" w:sz="0" w:space="0" w:color="auto"/>
          </w:divBdr>
        </w:div>
        <w:div w:id="1955558231">
          <w:marLeft w:val="0"/>
          <w:marRight w:val="0"/>
          <w:marTop w:val="0"/>
          <w:marBottom w:val="0"/>
          <w:divBdr>
            <w:top w:val="none" w:sz="0" w:space="0" w:color="auto"/>
            <w:left w:val="none" w:sz="0" w:space="0" w:color="auto"/>
            <w:bottom w:val="none" w:sz="0" w:space="0" w:color="auto"/>
            <w:right w:val="none" w:sz="0" w:space="0" w:color="auto"/>
          </w:divBdr>
        </w:div>
        <w:div w:id="1947807112">
          <w:marLeft w:val="0"/>
          <w:marRight w:val="0"/>
          <w:marTop w:val="0"/>
          <w:marBottom w:val="0"/>
          <w:divBdr>
            <w:top w:val="none" w:sz="0" w:space="0" w:color="auto"/>
            <w:left w:val="none" w:sz="0" w:space="0" w:color="auto"/>
            <w:bottom w:val="none" w:sz="0" w:space="0" w:color="auto"/>
            <w:right w:val="none" w:sz="0" w:space="0" w:color="auto"/>
          </w:divBdr>
        </w:div>
        <w:div w:id="1501118526">
          <w:marLeft w:val="0"/>
          <w:marRight w:val="0"/>
          <w:marTop w:val="0"/>
          <w:marBottom w:val="0"/>
          <w:divBdr>
            <w:top w:val="none" w:sz="0" w:space="0" w:color="auto"/>
            <w:left w:val="none" w:sz="0" w:space="0" w:color="auto"/>
            <w:bottom w:val="none" w:sz="0" w:space="0" w:color="auto"/>
            <w:right w:val="none" w:sz="0" w:space="0" w:color="auto"/>
          </w:divBdr>
        </w:div>
        <w:div w:id="443497761">
          <w:marLeft w:val="0"/>
          <w:marRight w:val="0"/>
          <w:marTop w:val="0"/>
          <w:marBottom w:val="0"/>
          <w:divBdr>
            <w:top w:val="none" w:sz="0" w:space="0" w:color="auto"/>
            <w:left w:val="none" w:sz="0" w:space="0" w:color="auto"/>
            <w:bottom w:val="none" w:sz="0" w:space="0" w:color="auto"/>
            <w:right w:val="none" w:sz="0" w:space="0" w:color="auto"/>
          </w:divBdr>
        </w:div>
        <w:div w:id="766772669">
          <w:marLeft w:val="0"/>
          <w:marRight w:val="0"/>
          <w:marTop w:val="0"/>
          <w:marBottom w:val="0"/>
          <w:divBdr>
            <w:top w:val="none" w:sz="0" w:space="0" w:color="auto"/>
            <w:left w:val="none" w:sz="0" w:space="0" w:color="auto"/>
            <w:bottom w:val="none" w:sz="0" w:space="0" w:color="auto"/>
            <w:right w:val="none" w:sz="0" w:space="0" w:color="auto"/>
          </w:divBdr>
        </w:div>
        <w:div w:id="919367116">
          <w:marLeft w:val="0"/>
          <w:marRight w:val="0"/>
          <w:marTop w:val="0"/>
          <w:marBottom w:val="0"/>
          <w:divBdr>
            <w:top w:val="none" w:sz="0" w:space="0" w:color="auto"/>
            <w:left w:val="none" w:sz="0" w:space="0" w:color="auto"/>
            <w:bottom w:val="none" w:sz="0" w:space="0" w:color="auto"/>
            <w:right w:val="none" w:sz="0" w:space="0" w:color="auto"/>
          </w:divBdr>
        </w:div>
        <w:div w:id="1608853012">
          <w:marLeft w:val="0"/>
          <w:marRight w:val="0"/>
          <w:marTop w:val="0"/>
          <w:marBottom w:val="0"/>
          <w:divBdr>
            <w:top w:val="none" w:sz="0" w:space="0" w:color="auto"/>
            <w:left w:val="none" w:sz="0" w:space="0" w:color="auto"/>
            <w:bottom w:val="none" w:sz="0" w:space="0" w:color="auto"/>
            <w:right w:val="none" w:sz="0" w:space="0" w:color="auto"/>
          </w:divBdr>
        </w:div>
        <w:div w:id="1614246104">
          <w:marLeft w:val="0"/>
          <w:marRight w:val="0"/>
          <w:marTop w:val="0"/>
          <w:marBottom w:val="0"/>
          <w:divBdr>
            <w:top w:val="none" w:sz="0" w:space="0" w:color="auto"/>
            <w:left w:val="none" w:sz="0" w:space="0" w:color="auto"/>
            <w:bottom w:val="none" w:sz="0" w:space="0" w:color="auto"/>
            <w:right w:val="none" w:sz="0" w:space="0" w:color="auto"/>
          </w:divBdr>
        </w:div>
        <w:div w:id="980421635">
          <w:marLeft w:val="0"/>
          <w:marRight w:val="0"/>
          <w:marTop w:val="0"/>
          <w:marBottom w:val="0"/>
          <w:divBdr>
            <w:top w:val="none" w:sz="0" w:space="0" w:color="auto"/>
            <w:left w:val="none" w:sz="0" w:space="0" w:color="auto"/>
            <w:bottom w:val="none" w:sz="0" w:space="0" w:color="auto"/>
            <w:right w:val="none" w:sz="0" w:space="0" w:color="auto"/>
          </w:divBdr>
        </w:div>
        <w:div w:id="1587687031">
          <w:marLeft w:val="0"/>
          <w:marRight w:val="0"/>
          <w:marTop w:val="0"/>
          <w:marBottom w:val="0"/>
          <w:divBdr>
            <w:top w:val="none" w:sz="0" w:space="0" w:color="auto"/>
            <w:left w:val="none" w:sz="0" w:space="0" w:color="auto"/>
            <w:bottom w:val="none" w:sz="0" w:space="0" w:color="auto"/>
            <w:right w:val="none" w:sz="0" w:space="0" w:color="auto"/>
          </w:divBdr>
        </w:div>
        <w:div w:id="503908521">
          <w:marLeft w:val="0"/>
          <w:marRight w:val="0"/>
          <w:marTop w:val="0"/>
          <w:marBottom w:val="0"/>
          <w:divBdr>
            <w:top w:val="none" w:sz="0" w:space="0" w:color="auto"/>
            <w:left w:val="none" w:sz="0" w:space="0" w:color="auto"/>
            <w:bottom w:val="none" w:sz="0" w:space="0" w:color="auto"/>
            <w:right w:val="none" w:sz="0" w:space="0" w:color="auto"/>
          </w:divBdr>
        </w:div>
        <w:div w:id="1436826721">
          <w:marLeft w:val="0"/>
          <w:marRight w:val="0"/>
          <w:marTop w:val="0"/>
          <w:marBottom w:val="0"/>
          <w:divBdr>
            <w:top w:val="none" w:sz="0" w:space="0" w:color="auto"/>
            <w:left w:val="none" w:sz="0" w:space="0" w:color="auto"/>
            <w:bottom w:val="none" w:sz="0" w:space="0" w:color="auto"/>
            <w:right w:val="none" w:sz="0" w:space="0" w:color="auto"/>
          </w:divBdr>
        </w:div>
        <w:div w:id="1741950427">
          <w:marLeft w:val="0"/>
          <w:marRight w:val="0"/>
          <w:marTop w:val="0"/>
          <w:marBottom w:val="0"/>
          <w:divBdr>
            <w:top w:val="none" w:sz="0" w:space="0" w:color="auto"/>
            <w:left w:val="none" w:sz="0" w:space="0" w:color="auto"/>
            <w:bottom w:val="none" w:sz="0" w:space="0" w:color="auto"/>
            <w:right w:val="none" w:sz="0" w:space="0" w:color="auto"/>
          </w:divBdr>
        </w:div>
        <w:div w:id="302008478">
          <w:marLeft w:val="0"/>
          <w:marRight w:val="0"/>
          <w:marTop w:val="0"/>
          <w:marBottom w:val="0"/>
          <w:divBdr>
            <w:top w:val="none" w:sz="0" w:space="0" w:color="auto"/>
            <w:left w:val="none" w:sz="0" w:space="0" w:color="auto"/>
            <w:bottom w:val="none" w:sz="0" w:space="0" w:color="auto"/>
            <w:right w:val="none" w:sz="0" w:space="0" w:color="auto"/>
          </w:divBdr>
        </w:div>
        <w:div w:id="1651132849">
          <w:marLeft w:val="0"/>
          <w:marRight w:val="0"/>
          <w:marTop w:val="0"/>
          <w:marBottom w:val="0"/>
          <w:divBdr>
            <w:top w:val="none" w:sz="0" w:space="0" w:color="auto"/>
            <w:left w:val="none" w:sz="0" w:space="0" w:color="auto"/>
            <w:bottom w:val="none" w:sz="0" w:space="0" w:color="auto"/>
            <w:right w:val="none" w:sz="0" w:space="0" w:color="auto"/>
          </w:divBdr>
        </w:div>
        <w:div w:id="471945710">
          <w:marLeft w:val="0"/>
          <w:marRight w:val="0"/>
          <w:marTop w:val="0"/>
          <w:marBottom w:val="0"/>
          <w:divBdr>
            <w:top w:val="none" w:sz="0" w:space="0" w:color="auto"/>
            <w:left w:val="none" w:sz="0" w:space="0" w:color="auto"/>
            <w:bottom w:val="none" w:sz="0" w:space="0" w:color="auto"/>
            <w:right w:val="none" w:sz="0" w:space="0" w:color="auto"/>
          </w:divBdr>
        </w:div>
        <w:div w:id="878131241">
          <w:marLeft w:val="0"/>
          <w:marRight w:val="0"/>
          <w:marTop w:val="0"/>
          <w:marBottom w:val="0"/>
          <w:divBdr>
            <w:top w:val="none" w:sz="0" w:space="0" w:color="auto"/>
            <w:left w:val="none" w:sz="0" w:space="0" w:color="auto"/>
            <w:bottom w:val="none" w:sz="0" w:space="0" w:color="auto"/>
            <w:right w:val="none" w:sz="0" w:space="0" w:color="auto"/>
          </w:divBdr>
        </w:div>
        <w:div w:id="456266714">
          <w:marLeft w:val="0"/>
          <w:marRight w:val="0"/>
          <w:marTop w:val="0"/>
          <w:marBottom w:val="0"/>
          <w:divBdr>
            <w:top w:val="none" w:sz="0" w:space="0" w:color="auto"/>
            <w:left w:val="none" w:sz="0" w:space="0" w:color="auto"/>
            <w:bottom w:val="none" w:sz="0" w:space="0" w:color="auto"/>
            <w:right w:val="none" w:sz="0" w:space="0" w:color="auto"/>
          </w:divBdr>
        </w:div>
        <w:div w:id="595947176">
          <w:marLeft w:val="0"/>
          <w:marRight w:val="0"/>
          <w:marTop w:val="0"/>
          <w:marBottom w:val="0"/>
          <w:divBdr>
            <w:top w:val="none" w:sz="0" w:space="0" w:color="auto"/>
            <w:left w:val="none" w:sz="0" w:space="0" w:color="auto"/>
            <w:bottom w:val="none" w:sz="0" w:space="0" w:color="auto"/>
            <w:right w:val="none" w:sz="0" w:space="0" w:color="auto"/>
          </w:divBdr>
        </w:div>
        <w:div w:id="1127510083">
          <w:marLeft w:val="0"/>
          <w:marRight w:val="0"/>
          <w:marTop w:val="0"/>
          <w:marBottom w:val="0"/>
          <w:divBdr>
            <w:top w:val="none" w:sz="0" w:space="0" w:color="auto"/>
            <w:left w:val="none" w:sz="0" w:space="0" w:color="auto"/>
            <w:bottom w:val="none" w:sz="0" w:space="0" w:color="auto"/>
            <w:right w:val="none" w:sz="0" w:space="0" w:color="auto"/>
          </w:divBdr>
        </w:div>
      </w:divsChild>
    </w:div>
    <w:div w:id="20567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20429/ijsotl.2011.050123" TargetMode="External"/><Relationship Id="rId1" Type="http://schemas.openxmlformats.org/officeDocument/2006/relationships/hyperlink" Target="http://www.sfasu.edu/strategicplan/203.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352E-94F5-4C46-94F8-52C667B0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3432</TotalTime>
  <Pages>16</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Weatherly</dc:creator>
  <cp:keywords/>
  <dc:description/>
  <cp:lastModifiedBy>Megan S. Weatherly</cp:lastModifiedBy>
  <cp:revision>11</cp:revision>
  <cp:lastPrinted>2017-03-21T20:03:00Z</cp:lastPrinted>
  <dcterms:created xsi:type="dcterms:W3CDTF">2017-03-08T14:41:00Z</dcterms:created>
  <dcterms:modified xsi:type="dcterms:W3CDTF">2017-04-26T23:40:00Z</dcterms:modified>
</cp:coreProperties>
</file>