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037" w:rsidRPr="00B316A2" w:rsidRDefault="00AE4037" w:rsidP="00AE4037">
      <w:pPr>
        <w:jc w:val="center"/>
        <w:rPr>
          <w:b/>
        </w:rPr>
      </w:pPr>
      <w:r w:rsidRPr="00B316A2">
        <w:rPr>
          <w:b/>
          <w:sz w:val="28"/>
        </w:rPr>
        <w:t>Increasing Connections</w:t>
      </w:r>
      <w:r w:rsidRPr="00B316A2">
        <w:rPr>
          <w:b/>
          <w:sz w:val="28"/>
        </w:rPr>
        <w:br/>
      </w:r>
      <w:r>
        <w:rPr>
          <w:b/>
          <w:sz w:val="24"/>
        </w:rPr>
        <w:t xml:space="preserve">Increasing Connections with </w:t>
      </w:r>
      <w:r>
        <w:rPr>
          <w:b/>
          <w:sz w:val="24"/>
        </w:rPr>
        <w:t>Two-Year Institutions</w:t>
      </w:r>
      <w:bookmarkStart w:id="0" w:name="_GoBack"/>
      <w:bookmarkEnd w:id="0"/>
    </w:p>
    <w:p w:rsidR="00AE4037" w:rsidRPr="00B316A2" w:rsidRDefault="00AE4037" w:rsidP="00AE4037">
      <w:pPr>
        <w:rPr>
          <w:b/>
          <w:u w:val="single"/>
        </w:rPr>
      </w:pPr>
      <w:r w:rsidRPr="00B316A2">
        <w:rPr>
          <w:b/>
          <w:u w:val="single"/>
        </w:rPr>
        <w:t>Applicable Vision Statement Elements</w:t>
      </w:r>
    </w:p>
    <w:p w:rsidR="00AE4037" w:rsidRDefault="00AE4037" w:rsidP="00AE4037">
      <w:r>
        <w:t>[7] Our brand and identity will be authentic, clear, and understood by all our stakeholders. People will know who we are, what we contribute to the local, regional, and state communities, and what matters to us as a university. We will be known as trusted partners. We will leverage the strengths of our stakeholders, including community colleges, businesses and industries, K-12 institutions, and government entities. These partnerships will enable us to provide a stellar learning experience for our students and contribute to the quality of life of everyone we touch.</w:t>
      </w:r>
    </w:p>
    <w:p w:rsidR="004C5206" w:rsidRDefault="004C5206" w:rsidP="004C5206">
      <w:pPr>
        <w:pStyle w:val="NoSpacing"/>
        <w:jc w:val="center"/>
      </w:pPr>
    </w:p>
    <w:tbl>
      <w:tblPr>
        <w:tblStyle w:val="TableGrid"/>
        <w:tblW w:w="0" w:type="auto"/>
        <w:tblLook w:val="04A0" w:firstRow="1" w:lastRow="0" w:firstColumn="1" w:lastColumn="0" w:noHBand="0" w:noVBand="1"/>
      </w:tblPr>
      <w:tblGrid>
        <w:gridCol w:w="2635"/>
        <w:gridCol w:w="5303"/>
        <w:gridCol w:w="1890"/>
        <w:gridCol w:w="1530"/>
        <w:gridCol w:w="1818"/>
      </w:tblGrid>
      <w:tr w:rsidR="004C5206" w:rsidTr="00AE4037">
        <w:tc>
          <w:tcPr>
            <w:tcW w:w="2635" w:type="dxa"/>
            <w:shd w:val="clear" w:color="auto" w:fill="D9D9D9" w:themeFill="background1" w:themeFillShade="D9"/>
          </w:tcPr>
          <w:p w:rsidR="004C5206" w:rsidRPr="00AE4037" w:rsidRDefault="004C5206" w:rsidP="004C5206">
            <w:pPr>
              <w:pStyle w:val="NoSpacing"/>
              <w:jc w:val="center"/>
              <w:rPr>
                <w:b/>
              </w:rPr>
            </w:pPr>
            <w:r w:rsidRPr="00AE4037">
              <w:rPr>
                <w:b/>
              </w:rPr>
              <w:t>Type</w:t>
            </w:r>
          </w:p>
          <w:p w:rsidR="004C5206" w:rsidRPr="00AE4037" w:rsidRDefault="004C5206" w:rsidP="004C5206">
            <w:pPr>
              <w:pStyle w:val="NoSpacing"/>
              <w:jc w:val="center"/>
              <w:rPr>
                <w:b/>
                <w:sz w:val="20"/>
                <w:szCs w:val="20"/>
              </w:rPr>
            </w:pPr>
            <w:r w:rsidRPr="00AE4037">
              <w:rPr>
                <w:b/>
                <w:sz w:val="20"/>
                <w:szCs w:val="20"/>
              </w:rPr>
              <w:t>Barrier - B</w:t>
            </w:r>
          </w:p>
          <w:p w:rsidR="004C5206" w:rsidRPr="00AE4037" w:rsidRDefault="00D40126" w:rsidP="00CF3084">
            <w:pPr>
              <w:pStyle w:val="NoSpacing"/>
              <w:jc w:val="center"/>
              <w:rPr>
                <w:b/>
              </w:rPr>
            </w:pPr>
            <w:r w:rsidRPr="00AE4037">
              <w:rPr>
                <w:b/>
                <w:sz w:val="20"/>
                <w:szCs w:val="20"/>
              </w:rPr>
              <w:t>Idea</w:t>
            </w:r>
            <w:r w:rsidR="00CF3084" w:rsidRPr="00AE4037">
              <w:rPr>
                <w:b/>
                <w:sz w:val="20"/>
                <w:szCs w:val="20"/>
              </w:rPr>
              <w:t xml:space="preserve"> </w:t>
            </w:r>
            <w:r w:rsidRPr="00AE4037">
              <w:rPr>
                <w:b/>
                <w:sz w:val="20"/>
                <w:szCs w:val="20"/>
              </w:rPr>
              <w:t>increase connection</w:t>
            </w:r>
            <w:r w:rsidR="004C5206" w:rsidRPr="00AE4037">
              <w:rPr>
                <w:b/>
                <w:sz w:val="20"/>
                <w:szCs w:val="20"/>
              </w:rPr>
              <w:t xml:space="preserve"> - I</w:t>
            </w:r>
          </w:p>
        </w:tc>
        <w:tc>
          <w:tcPr>
            <w:tcW w:w="5303" w:type="dxa"/>
            <w:shd w:val="clear" w:color="auto" w:fill="D9D9D9" w:themeFill="background1" w:themeFillShade="D9"/>
          </w:tcPr>
          <w:p w:rsidR="004C5206" w:rsidRPr="00AE4037" w:rsidRDefault="004C5206" w:rsidP="004C5206">
            <w:pPr>
              <w:pStyle w:val="NoSpacing"/>
              <w:jc w:val="center"/>
              <w:rPr>
                <w:b/>
              </w:rPr>
            </w:pPr>
            <w:r w:rsidRPr="00AE4037">
              <w:rPr>
                <w:b/>
              </w:rPr>
              <w:t>Item</w:t>
            </w:r>
          </w:p>
        </w:tc>
        <w:tc>
          <w:tcPr>
            <w:tcW w:w="1890" w:type="dxa"/>
            <w:shd w:val="clear" w:color="auto" w:fill="D9D9D9" w:themeFill="background1" w:themeFillShade="D9"/>
          </w:tcPr>
          <w:p w:rsidR="004C5206" w:rsidRPr="00AE4037" w:rsidRDefault="004C5206" w:rsidP="004C5206">
            <w:pPr>
              <w:pStyle w:val="NoSpacing"/>
              <w:jc w:val="center"/>
              <w:rPr>
                <w:b/>
              </w:rPr>
            </w:pPr>
            <w:r w:rsidRPr="00AE4037">
              <w:rPr>
                <w:b/>
              </w:rPr>
              <w:t>Action</w:t>
            </w:r>
          </w:p>
        </w:tc>
        <w:tc>
          <w:tcPr>
            <w:tcW w:w="1530" w:type="dxa"/>
            <w:shd w:val="clear" w:color="auto" w:fill="D9D9D9" w:themeFill="background1" w:themeFillShade="D9"/>
          </w:tcPr>
          <w:p w:rsidR="004C5206" w:rsidRPr="00AE4037" w:rsidRDefault="004C5206" w:rsidP="004C5206">
            <w:pPr>
              <w:pStyle w:val="NoSpacing"/>
              <w:jc w:val="center"/>
              <w:rPr>
                <w:b/>
              </w:rPr>
            </w:pPr>
            <w:r w:rsidRPr="00AE4037">
              <w:rPr>
                <w:b/>
              </w:rPr>
              <w:t>Timeline</w:t>
            </w:r>
          </w:p>
        </w:tc>
        <w:tc>
          <w:tcPr>
            <w:tcW w:w="1818" w:type="dxa"/>
            <w:shd w:val="clear" w:color="auto" w:fill="D9D9D9" w:themeFill="background1" w:themeFillShade="D9"/>
          </w:tcPr>
          <w:p w:rsidR="004C5206" w:rsidRPr="00AE4037" w:rsidRDefault="004C5206" w:rsidP="004C5206">
            <w:pPr>
              <w:pStyle w:val="NoSpacing"/>
              <w:jc w:val="center"/>
              <w:rPr>
                <w:b/>
              </w:rPr>
            </w:pPr>
            <w:r w:rsidRPr="00AE4037">
              <w:rPr>
                <w:b/>
              </w:rPr>
              <w:t>Ownership</w:t>
            </w:r>
          </w:p>
        </w:tc>
      </w:tr>
      <w:tr w:rsidR="004C5206" w:rsidTr="004C5206">
        <w:tc>
          <w:tcPr>
            <w:tcW w:w="2635" w:type="dxa"/>
          </w:tcPr>
          <w:p w:rsidR="004C5206" w:rsidRDefault="004C5206" w:rsidP="004C5206">
            <w:pPr>
              <w:pStyle w:val="NoSpacing"/>
              <w:jc w:val="center"/>
            </w:pPr>
            <w:r>
              <w:t>B</w:t>
            </w:r>
          </w:p>
        </w:tc>
        <w:tc>
          <w:tcPr>
            <w:tcW w:w="5303" w:type="dxa"/>
          </w:tcPr>
          <w:p w:rsidR="004C5206" w:rsidRDefault="004C5206" w:rsidP="00D40126">
            <w:pPr>
              <w:pStyle w:val="NoSpacing"/>
              <w:jc w:val="center"/>
            </w:pPr>
            <w:r>
              <w:t>Not enough scholarships to be comp</w:t>
            </w:r>
            <w:r w:rsidR="00D40126">
              <w:t>etitive</w:t>
            </w:r>
          </w:p>
        </w:tc>
        <w:tc>
          <w:tcPr>
            <w:tcW w:w="1890" w:type="dxa"/>
          </w:tcPr>
          <w:p w:rsidR="004C5206" w:rsidRDefault="004C5206" w:rsidP="004C5206">
            <w:pPr>
              <w:pStyle w:val="NoSpacing"/>
              <w:jc w:val="center"/>
            </w:pPr>
          </w:p>
        </w:tc>
        <w:tc>
          <w:tcPr>
            <w:tcW w:w="1530" w:type="dxa"/>
          </w:tcPr>
          <w:p w:rsidR="004C5206" w:rsidRDefault="004C5206" w:rsidP="004C5206">
            <w:pPr>
              <w:pStyle w:val="NoSpacing"/>
              <w:jc w:val="center"/>
            </w:pPr>
          </w:p>
        </w:tc>
        <w:tc>
          <w:tcPr>
            <w:tcW w:w="1818" w:type="dxa"/>
          </w:tcPr>
          <w:p w:rsidR="004C5206" w:rsidRDefault="004C5206" w:rsidP="004C5206">
            <w:pPr>
              <w:pStyle w:val="NoSpacing"/>
              <w:jc w:val="center"/>
            </w:pPr>
          </w:p>
        </w:tc>
      </w:tr>
      <w:tr w:rsidR="004C5206" w:rsidTr="004C5206">
        <w:tc>
          <w:tcPr>
            <w:tcW w:w="2635" w:type="dxa"/>
          </w:tcPr>
          <w:p w:rsidR="004C5206" w:rsidRDefault="004C5206" w:rsidP="004C5206">
            <w:pPr>
              <w:pStyle w:val="NoSpacing"/>
              <w:jc w:val="center"/>
            </w:pPr>
            <w:r>
              <w:t>B</w:t>
            </w:r>
          </w:p>
        </w:tc>
        <w:tc>
          <w:tcPr>
            <w:tcW w:w="5303" w:type="dxa"/>
          </w:tcPr>
          <w:p w:rsidR="004C5206" w:rsidRDefault="004C5206" w:rsidP="004C5206">
            <w:pPr>
              <w:pStyle w:val="NoSpacing"/>
              <w:jc w:val="center"/>
            </w:pPr>
            <w:r>
              <w:t>Not enough financial resources for transfer student</w:t>
            </w:r>
          </w:p>
        </w:tc>
        <w:tc>
          <w:tcPr>
            <w:tcW w:w="1890" w:type="dxa"/>
          </w:tcPr>
          <w:p w:rsidR="004C5206" w:rsidRDefault="004C5206" w:rsidP="004C5206">
            <w:pPr>
              <w:pStyle w:val="NoSpacing"/>
              <w:jc w:val="center"/>
            </w:pPr>
          </w:p>
        </w:tc>
        <w:tc>
          <w:tcPr>
            <w:tcW w:w="1530" w:type="dxa"/>
          </w:tcPr>
          <w:p w:rsidR="004C5206" w:rsidRDefault="004C5206" w:rsidP="004C5206">
            <w:pPr>
              <w:pStyle w:val="NoSpacing"/>
              <w:jc w:val="center"/>
            </w:pPr>
          </w:p>
        </w:tc>
        <w:tc>
          <w:tcPr>
            <w:tcW w:w="1818" w:type="dxa"/>
          </w:tcPr>
          <w:p w:rsidR="004C5206" w:rsidRDefault="004C5206" w:rsidP="004C5206">
            <w:pPr>
              <w:pStyle w:val="NoSpacing"/>
              <w:jc w:val="center"/>
            </w:pPr>
          </w:p>
        </w:tc>
      </w:tr>
      <w:tr w:rsidR="004C5206" w:rsidTr="004C5206">
        <w:tc>
          <w:tcPr>
            <w:tcW w:w="2635" w:type="dxa"/>
          </w:tcPr>
          <w:p w:rsidR="004C5206" w:rsidRDefault="004C5206" w:rsidP="004C5206">
            <w:pPr>
              <w:pStyle w:val="NoSpacing"/>
              <w:jc w:val="center"/>
            </w:pPr>
            <w:r>
              <w:t>B</w:t>
            </w:r>
          </w:p>
        </w:tc>
        <w:tc>
          <w:tcPr>
            <w:tcW w:w="5303" w:type="dxa"/>
          </w:tcPr>
          <w:p w:rsidR="004C5206" w:rsidRDefault="004C5206" w:rsidP="004C5206">
            <w:pPr>
              <w:pStyle w:val="NoSpacing"/>
              <w:jc w:val="center"/>
            </w:pPr>
            <w:r>
              <w:t>Lack of communication regarding registration opportunities</w:t>
            </w:r>
          </w:p>
        </w:tc>
        <w:tc>
          <w:tcPr>
            <w:tcW w:w="1890" w:type="dxa"/>
          </w:tcPr>
          <w:p w:rsidR="004C5206" w:rsidRDefault="004C5206" w:rsidP="004C5206">
            <w:pPr>
              <w:pStyle w:val="NoSpacing"/>
              <w:jc w:val="center"/>
            </w:pPr>
          </w:p>
        </w:tc>
        <w:tc>
          <w:tcPr>
            <w:tcW w:w="1530" w:type="dxa"/>
          </w:tcPr>
          <w:p w:rsidR="004C5206" w:rsidRDefault="004C5206" w:rsidP="004C5206">
            <w:pPr>
              <w:pStyle w:val="NoSpacing"/>
              <w:jc w:val="center"/>
            </w:pPr>
          </w:p>
        </w:tc>
        <w:tc>
          <w:tcPr>
            <w:tcW w:w="1818" w:type="dxa"/>
          </w:tcPr>
          <w:p w:rsidR="004C5206" w:rsidRDefault="004C5206" w:rsidP="004C5206">
            <w:pPr>
              <w:pStyle w:val="NoSpacing"/>
              <w:jc w:val="center"/>
            </w:pPr>
          </w:p>
        </w:tc>
      </w:tr>
      <w:tr w:rsidR="004C5206" w:rsidTr="004C5206">
        <w:tc>
          <w:tcPr>
            <w:tcW w:w="2635" w:type="dxa"/>
          </w:tcPr>
          <w:p w:rsidR="004C5206" w:rsidRDefault="004C5206" w:rsidP="004C5206">
            <w:pPr>
              <w:pStyle w:val="NoSpacing"/>
              <w:jc w:val="center"/>
            </w:pPr>
            <w:r>
              <w:t>B</w:t>
            </w:r>
          </w:p>
        </w:tc>
        <w:tc>
          <w:tcPr>
            <w:tcW w:w="5303" w:type="dxa"/>
          </w:tcPr>
          <w:p w:rsidR="004C5206" w:rsidRDefault="004C5206" w:rsidP="004C5206">
            <w:pPr>
              <w:pStyle w:val="NoSpacing"/>
              <w:jc w:val="center"/>
            </w:pPr>
            <w:r>
              <w:t>Residence Life housing</w:t>
            </w:r>
            <w:r w:rsidR="00D40126">
              <w:t xml:space="preserve"> requirement for transfer students</w:t>
            </w:r>
          </w:p>
        </w:tc>
        <w:tc>
          <w:tcPr>
            <w:tcW w:w="1890" w:type="dxa"/>
          </w:tcPr>
          <w:p w:rsidR="004C5206" w:rsidRDefault="004C5206" w:rsidP="004C5206">
            <w:pPr>
              <w:pStyle w:val="NoSpacing"/>
              <w:jc w:val="center"/>
            </w:pPr>
          </w:p>
        </w:tc>
        <w:tc>
          <w:tcPr>
            <w:tcW w:w="1530" w:type="dxa"/>
          </w:tcPr>
          <w:p w:rsidR="004C5206" w:rsidRDefault="004C5206" w:rsidP="004C5206">
            <w:pPr>
              <w:pStyle w:val="NoSpacing"/>
              <w:jc w:val="center"/>
            </w:pPr>
          </w:p>
        </w:tc>
        <w:tc>
          <w:tcPr>
            <w:tcW w:w="1818" w:type="dxa"/>
          </w:tcPr>
          <w:p w:rsidR="004C5206" w:rsidRDefault="004C5206" w:rsidP="004C5206">
            <w:pPr>
              <w:pStyle w:val="NoSpacing"/>
              <w:jc w:val="center"/>
            </w:pPr>
          </w:p>
        </w:tc>
      </w:tr>
      <w:tr w:rsidR="00D40126" w:rsidTr="004C5206">
        <w:tc>
          <w:tcPr>
            <w:tcW w:w="2635" w:type="dxa"/>
          </w:tcPr>
          <w:p w:rsidR="00D40126" w:rsidRDefault="00D40126" w:rsidP="004C5206">
            <w:pPr>
              <w:pStyle w:val="NoSpacing"/>
              <w:jc w:val="center"/>
            </w:pPr>
            <w:r>
              <w:t>B</w:t>
            </w:r>
          </w:p>
        </w:tc>
        <w:tc>
          <w:tcPr>
            <w:tcW w:w="5303" w:type="dxa"/>
          </w:tcPr>
          <w:p w:rsidR="00D40126" w:rsidRDefault="00D40126" w:rsidP="004C5206">
            <w:pPr>
              <w:pStyle w:val="NoSpacing"/>
              <w:jc w:val="center"/>
            </w:pPr>
            <w:r>
              <w:t>Location – transfer students in larger cities having to move</w:t>
            </w:r>
          </w:p>
        </w:tc>
        <w:tc>
          <w:tcPr>
            <w:tcW w:w="1890" w:type="dxa"/>
          </w:tcPr>
          <w:p w:rsidR="00D40126" w:rsidRDefault="00D40126" w:rsidP="004C5206">
            <w:pPr>
              <w:pStyle w:val="NoSpacing"/>
              <w:jc w:val="center"/>
            </w:pPr>
          </w:p>
        </w:tc>
        <w:tc>
          <w:tcPr>
            <w:tcW w:w="1530" w:type="dxa"/>
          </w:tcPr>
          <w:p w:rsidR="00D40126" w:rsidRDefault="00D40126" w:rsidP="004C5206">
            <w:pPr>
              <w:pStyle w:val="NoSpacing"/>
              <w:jc w:val="center"/>
            </w:pPr>
          </w:p>
        </w:tc>
        <w:tc>
          <w:tcPr>
            <w:tcW w:w="1818" w:type="dxa"/>
          </w:tcPr>
          <w:p w:rsidR="00D40126" w:rsidRDefault="00D40126" w:rsidP="004C5206">
            <w:pPr>
              <w:pStyle w:val="NoSpacing"/>
              <w:jc w:val="center"/>
            </w:pPr>
          </w:p>
        </w:tc>
      </w:tr>
      <w:tr w:rsidR="00D40126" w:rsidTr="004C5206">
        <w:tc>
          <w:tcPr>
            <w:tcW w:w="2635" w:type="dxa"/>
          </w:tcPr>
          <w:p w:rsidR="00D40126" w:rsidRDefault="00D40126" w:rsidP="004C5206">
            <w:pPr>
              <w:pStyle w:val="NoSpacing"/>
              <w:jc w:val="center"/>
            </w:pPr>
            <w:r>
              <w:t>B</w:t>
            </w:r>
          </w:p>
        </w:tc>
        <w:tc>
          <w:tcPr>
            <w:tcW w:w="5303" w:type="dxa"/>
          </w:tcPr>
          <w:p w:rsidR="00D40126" w:rsidRDefault="00D40126" w:rsidP="004C5206">
            <w:pPr>
              <w:pStyle w:val="NoSpacing"/>
              <w:jc w:val="center"/>
            </w:pPr>
            <w:r>
              <w:t>Lack of “off-site” programs</w:t>
            </w:r>
          </w:p>
        </w:tc>
        <w:tc>
          <w:tcPr>
            <w:tcW w:w="1890" w:type="dxa"/>
          </w:tcPr>
          <w:p w:rsidR="00D40126" w:rsidRDefault="00D40126" w:rsidP="004C5206">
            <w:pPr>
              <w:pStyle w:val="NoSpacing"/>
              <w:jc w:val="center"/>
            </w:pPr>
          </w:p>
        </w:tc>
        <w:tc>
          <w:tcPr>
            <w:tcW w:w="1530" w:type="dxa"/>
          </w:tcPr>
          <w:p w:rsidR="00D40126" w:rsidRDefault="00D40126" w:rsidP="004C5206">
            <w:pPr>
              <w:pStyle w:val="NoSpacing"/>
              <w:jc w:val="center"/>
            </w:pPr>
          </w:p>
        </w:tc>
        <w:tc>
          <w:tcPr>
            <w:tcW w:w="1818" w:type="dxa"/>
          </w:tcPr>
          <w:p w:rsidR="00D40126" w:rsidRDefault="00D40126" w:rsidP="004C5206">
            <w:pPr>
              <w:pStyle w:val="NoSpacing"/>
              <w:jc w:val="center"/>
            </w:pPr>
          </w:p>
        </w:tc>
      </w:tr>
      <w:tr w:rsidR="00D40126" w:rsidTr="004C5206">
        <w:tc>
          <w:tcPr>
            <w:tcW w:w="2635" w:type="dxa"/>
          </w:tcPr>
          <w:p w:rsidR="00D40126" w:rsidRDefault="00D40126" w:rsidP="004C5206">
            <w:pPr>
              <w:pStyle w:val="NoSpacing"/>
              <w:jc w:val="center"/>
            </w:pPr>
            <w:r>
              <w:t>B</w:t>
            </w:r>
          </w:p>
        </w:tc>
        <w:tc>
          <w:tcPr>
            <w:tcW w:w="5303" w:type="dxa"/>
          </w:tcPr>
          <w:p w:rsidR="00D40126" w:rsidRDefault="00D40126" w:rsidP="004C5206">
            <w:pPr>
              <w:pStyle w:val="NoSpacing"/>
              <w:jc w:val="center"/>
            </w:pPr>
            <w:r>
              <w:t>Lack of and easy of “on-line” programs</w:t>
            </w:r>
          </w:p>
        </w:tc>
        <w:tc>
          <w:tcPr>
            <w:tcW w:w="1890" w:type="dxa"/>
          </w:tcPr>
          <w:p w:rsidR="00D40126" w:rsidRDefault="00D40126" w:rsidP="004C5206">
            <w:pPr>
              <w:pStyle w:val="NoSpacing"/>
              <w:jc w:val="center"/>
            </w:pPr>
          </w:p>
        </w:tc>
        <w:tc>
          <w:tcPr>
            <w:tcW w:w="1530" w:type="dxa"/>
          </w:tcPr>
          <w:p w:rsidR="00D40126" w:rsidRDefault="00D40126" w:rsidP="004C5206">
            <w:pPr>
              <w:pStyle w:val="NoSpacing"/>
              <w:jc w:val="center"/>
            </w:pPr>
          </w:p>
        </w:tc>
        <w:tc>
          <w:tcPr>
            <w:tcW w:w="1818" w:type="dxa"/>
          </w:tcPr>
          <w:p w:rsidR="00D40126" w:rsidRDefault="00D40126" w:rsidP="004C5206">
            <w:pPr>
              <w:pStyle w:val="NoSpacing"/>
              <w:jc w:val="center"/>
            </w:pPr>
          </w:p>
        </w:tc>
      </w:tr>
      <w:tr w:rsidR="00D40126" w:rsidTr="004C5206">
        <w:tc>
          <w:tcPr>
            <w:tcW w:w="2635" w:type="dxa"/>
          </w:tcPr>
          <w:p w:rsidR="00D40126" w:rsidRDefault="00D40126" w:rsidP="004C5206">
            <w:pPr>
              <w:pStyle w:val="NoSpacing"/>
              <w:jc w:val="center"/>
            </w:pPr>
            <w:r>
              <w:t>B</w:t>
            </w:r>
          </w:p>
        </w:tc>
        <w:tc>
          <w:tcPr>
            <w:tcW w:w="5303" w:type="dxa"/>
          </w:tcPr>
          <w:p w:rsidR="00D40126" w:rsidRDefault="00D40126" w:rsidP="004C5206">
            <w:pPr>
              <w:pStyle w:val="NoSpacing"/>
              <w:jc w:val="center"/>
            </w:pPr>
            <w:r>
              <w:t>Advising – good and accurate advising of course transferability</w:t>
            </w:r>
          </w:p>
        </w:tc>
        <w:tc>
          <w:tcPr>
            <w:tcW w:w="1890" w:type="dxa"/>
          </w:tcPr>
          <w:p w:rsidR="00D40126" w:rsidRDefault="00D40126" w:rsidP="004C5206">
            <w:pPr>
              <w:pStyle w:val="NoSpacing"/>
              <w:jc w:val="center"/>
            </w:pPr>
          </w:p>
        </w:tc>
        <w:tc>
          <w:tcPr>
            <w:tcW w:w="1530" w:type="dxa"/>
          </w:tcPr>
          <w:p w:rsidR="00D40126" w:rsidRDefault="00D40126" w:rsidP="004C5206">
            <w:pPr>
              <w:pStyle w:val="NoSpacing"/>
              <w:jc w:val="center"/>
            </w:pPr>
          </w:p>
        </w:tc>
        <w:tc>
          <w:tcPr>
            <w:tcW w:w="1818" w:type="dxa"/>
          </w:tcPr>
          <w:p w:rsidR="00D40126" w:rsidRDefault="00D40126" w:rsidP="004C5206">
            <w:pPr>
              <w:pStyle w:val="NoSpacing"/>
              <w:jc w:val="center"/>
            </w:pPr>
          </w:p>
        </w:tc>
      </w:tr>
      <w:tr w:rsidR="00D40126" w:rsidTr="004C5206">
        <w:tc>
          <w:tcPr>
            <w:tcW w:w="2635" w:type="dxa"/>
          </w:tcPr>
          <w:p w:rsidR="00D40126" w:rsidRDefault="00D40126" w:rsidP="004C5206">
            <w:pPr>
              <w:pStyle w:val="NoSpacing"/>
              <w:jc w:val="center"/>
            </w:pPr>
            <w:r>
              <w:t>B</w:t>
            </w:r>
          </w:p>
        </w:tc>
        <w:tc>
          <w:tcPr>
            <w:tcW w:w="5303" w:type="dxa"/>
          </w:tcPr>
          <w:p w:rsidR="00D40126" w:rsidRDefault="00D40126" w:rsidP="004C5206">
            <w:pPr>
              <w:pStyle w:val="NoSpacing"/>
              <w:jc w:val="center"/>
            </w:pPr>
            <w:r>
              <w:t>Timely and up-to-date course equivalencies and planning guides via web</w:t>
            </w:r>
          </w:p>
        </w:tc>
        <w:tc>
          <w:tcPr>
            <w:tcW w:w="1890" w:type="dxa"/>
          </w:tcPr>
          <w:p w:rsidR="00D40126" w:rsidRDefault="00D40126" w:rsidP="004C5206">
            <w:pPr>
              <w:pStyle w:val="NoSpacing"/>
              <w:jc w:val="center"/>
            </w:pPr>
          </w:p>
        </w:tc>
        <w:tc>
          <w:tcPr>
            <w:tcW w:w="1530" w:type="dxa"/>
          </w:tcPr>
          <w:p w:rsidR="00D40126" w:rsidRDefault="00D40126" w:rsidP="004C5206">
            <w:pPr>
              <w:pStyle w:val="NoSpacing"/>
              <w:jc w:val="center"/>
            </w:pPr>
          </w:p>
        </w:tc>
        <w:tc>
          <w:tcPr>
            <w:tcW w:w="1818" w:type="dxa"/>
          </w:tcPr>
          <w:p w:rsidR="00D40126" w:rsidRDefault="00D40126" w:rsidP="004C5206">
            <w:pPr>
              <w:pStyle w:val="NoSpacing"/>
              <w:jc w:val="center"/>
            </w:pPr>
          </w:p>
        </w:tc>
      </w:tr>
      <w:tr w:rsidR="00D40126" w:rsidTr="004C5206">
        <w:tc>
          <w:tcPr>
            <w:tcW w:w="2635" w:type="dxa"/>
          </w:tcPr>
          <w:p w:rsidR="00D40126" w:rsidRDefault="00D40126" w:rsidP="004C5206">
            <w:pPr>
              <w:pStyle w:val="NoSpacing"/>
              <w:jc w:val="center"/>
            </w:pPr>
            <w:r>
              <w:t>B</w:t>
            </w:r>
          </w:p>
        </w:tc>
        <w:tc>
          <w:tcPr>
            <w:tcW w:w="5303" w:type="dxa"/>
          </w:tcPr>
          <w:p w:rsidR="00D40126" w:rsidRDefault="00D40126" w:rsidP="004C5206">
            <w:pPr>
              <w:pStyle w:val="NoSpacing"/>
              <w:jc w:val="center"/>
            </w:pPr>
            <w:r>
              <w:t>No specific scholarships for PTK students</w:t>
            </w:r>
          </w:p>
        </w:tc>
        <w:tc>
          <w:tcPr>
            <w:tcW w:w="1890" w:type="dxa"/>
          </w:tcPr>
          <w:p w:rsidR="00D40126" w:rsidRDefault="00D40126" w:rsidP="004C5206">
            <w:pPr>
              <w:pStyle w:val="NoSpacing"/>
              <w:jc w:val="center"/>
            </w:pPr>
          </w:p>
        </w:tc>
        <w:tc>
          <w:tcPr>
            <w:tcW w:w="1530" w:type="dxa"/>
          </w:tcPr>
          <w:p w:rsidR="00D40126" w:rsidRDefault="00D40126" w:rsidP="004C5206">
            <w:pPr>
              <w:pStyle w:val="NoSpacing"/>
              <w:jc w:val="center"/>
            </w:pPr>
          </w:p>
        </w:tc>
        <w:tc>
          <w:tcPr>
            <w:tcW w:w="1818" w:type="dxa"/>
          </w:tcPr>
          <w:p w:rsidR="00D40126" w:rsidRDefault="00D40126" w:rsidP="004C5206">
            <w:pPr>
              <w:pStyle w:val="NoSpacing"/>
              <w:jc w:val="center"/>
            </w:pPr>
          </w:p>
        </w:tc>
      </w:tr>
      <w:tr w:rsidR="00D40126" w:rsidTr="004C5206">
        <w:tc>
          <w:tcPr>
            <w:tcW w:w="2635" w:type="dxa"/>
          </w:tcPr>
          <w:p w:rsidR="00D40126" w:rsidRDefault="00D40126" w:rsidP="004C5206">
            <w:pPr>
              <w:pStyle w:val="NoSpacing"/>
              <w:jc w:val="center"/>
            </w:pPr>
            <w:r>
              <w:t>B</w:t>
            </w:r>
          </w:p>
        </w:tc>
        <w:tc>
          <w:tcPr>
            <w:tcW w:w="5303" w:type="dxa"/>
          </w:tcPr>
          <w:p w:rsidR="00D40126" w:rsidRDefault="00D40126" w:rsidP="004C5206">
            <w:pPr>
              <w:pStyle w:val="NoSpacing"/>
              <w:jc w:val="center"/>
            </w:pPr>
            <w:r>
              <w:t>Lack of awareness about SFA for international transfer students</w:t>
            </w:r>
          </w:p>
        </w:tc>
        <w:tc>
          <w:tcPr>
            <w:tcW w:w="1890" w:type="dxa"/>
          </w:tcPr>
          <w:p w:rsidR="00D40126" w:rsidRDefault="00D40126" w:rsidP="004C5206">
            <w:pPr>
              <w:pStyle w:val="NoSpacing"/>
              <w:jc w:val="center"/>
            </w:pPr>
          </w:p>
        </w:tc>
        <w:tc>
          <w:tcPr>
            <w:tcW w:w="1530" w:type="dxa"/>
          </w:tcPr>
          <w:p w:rsidR="00D40126" w:rsidRDefault="00D40126" w:rsidP="004C5206">
            <w:pPr>
              <w:pStyle w:val="NoSpacing"/>
              <w:jc w:val="center"/>
            </w:pPr>
          </w:p>
        </w:tc>
        <w:tc>
          <w:tcPr>
            <w:tcW w:w="1818" w:type="dxa"/>
          </w:tcPr>
          <w:p w:rsidR="00D40126" w:rsidRDefault="00D40126" w:rsidP="004C5206">
            <w:pPr>
              <w:pStyle w:val="NoSpacing"/>
              <w:jc w:val="center"/>
            </w:pPr>
          </w:p>
        </w:tc>
      </w:tr>
      <w:tr w:rsidR="00D40126" w:rsidTr="004C5206">
        <w:tc>
          <w:tcPr>
            <w:tcW w:w="2635" w:type="dxa"/>
          </w:tcPr>
          <w:p w:rsidR="00D40126" w:rsidRDefault="00D40126" w:rsidP="004C5206">
            <w:pPr>
              <w:pStyle w:val="NoSpacing"/>
              <w:jc w:val="center"/>
            </w:pPr>
            <w:r>
              <w:t>B</w:t>
            </w:r>
          </w:p>
        </w:tc>
        <w:tc>
          <w:tcPr>
            <w:tcW w:w="5303" w:type="dxa"/>
          </w:tcPr>
          <w:p w:rsidR="00D40126" w:rsidRDefault="00D40126" w:rsidP="004C5206">
            <w:pPr>
              <w:pStyle w:val="NoSpacing"/>
              <w:jc w:val="center"/>
            </w:pPr>
            <w:r>
              <w:t>Lack of awareness for international transfer students regarding international specific scholarships</w:t>
            </w:r>
          </w:p>
        </w:tc>
        <w:tc>
          <w:tcPr>
            <w:tcW w:w="1890" w:type="dxa"/>
          </w:tcPr>
          <w:p w:rsidR="00D40126" w:rsidRDefault="00D40126" w:rsidP="004C5206">
            <w:pPr>
              <w:pStyle w:val="NoSpacing"/>
              <w:jc w:val="center"/>
            </w:pPr>
          </w:p>
        </w:tc>
        <w:tc>
          <w:tcPr>
            <w:tcW w:w="1530" w:type="dxa"/>
          </w:tcPr>
          <w:p w:rsidR="00D40126" w:rsidRDefault="00D40126" w:rsidP="004C5206">
            <w:pPr>
              <w:pStyle w:val="NoSpacing"/>
              <w:jc w:val="center"/>
            </w:pPr>
          </w:p>
        </w:tc>
        <w:tc>
          <w:tcPr>
            <w:tcW w:w="1818" w:type="dxa"/>
          </w:tcPr>
          <w:p w:rsidR="00D40126" w:rsidRDefault="00D40126" w:rsidP="004C5206">
            <w:pPr>
              <w:pStyle w:val="NoSpacing"/>
              <w:jc w:val="center"/>
            </w:pPr>
          </w:p>
        </w:tc>
      </w:tr>
      <w:tr w:rsidR="00D40126" w:rsidTr="004C5206">
        <w:tc>
          <w:tcPr>
            <w:tcW w:w="2635" w:type="dxa"/>
          </w:tcPr>
          <w:p w:rsidR="00D40126" w:rsidRDefault="00D40126" w:rsidP="004C5206">
            <w:pPr>
              <w:pStyle w:val="NoSpacing"/>
              <w:jc w:val="center"/>
            </w:pPr>
          </w:p>
        </w:tc>
        <w:tc>
          <w:tcPr>
            <w:tcW w:w="5303" w:type="dxa"/>
          </w:tcPr>
          <w:p w:rsidR="00D40126" w:rsidRDefault="00D40126" w:rsidP="004C5206">
            <w:pPr>
              <w:pStyle w:val="NoSpacing"/>
              <w:jc w:val="center"/>
            </w:pPr>
            <w:r>
              <w:t>Lack of awareness for international transfer students on the range of SFA’s degree programs and how they can transfer</w:t>
            </w:r>
          </w:p>
        </w:tc>
        <w:tc>
          <w:tcPr>
            <w:tcW w:w="1890" w:type="dxa"/>
          </w:tcPr>
          <w:p w:rsidR="00D40126" w:rsidRDefault="00D40126" w:rsidP="004C5206">
            <w:pPr>
              <w:pStyle w:val="NoSpacing"/>
              <w:jc w:val="center"/>
            </w:pPr>
          </w:p>
        </w:tc>
        <w:tc>
          <w:tcPr>
            <w:tcW w:w="1530" w:type="dxa"/>
          </w:tcPr>
          <w:p w:rsidR="00D40126" w:rsidRDefault="00D40126" w:rsidP="004C5206">
            <w:pPr>
              <w:pStyle w:val="NoSpacing"/>
              <w:jc w:val="center"/>
            </w:pPr>
          </w:p>
        </w:tc>
        <w:tc>
          <w:tcPr>
            <w:tcW w:w="1818" w:type="dxa"/>
          </w:tcPr>
          <w:p w:rsidR="00D40126" w:rsidRDefault="00D40126" w:rsidP="004C5206">
            <w:pPr>
              <w:pStyle w:val="NoSpacing"/>
              <w:jc w:val="center"/>
            </w:pPr>
          </w:p>
        </w:tc>
      </w:tr>
      <w:tr w:rsidR="00D40126" w:rsidTr="004C5206">
        <w:tc>
          <w:tcPr>
            <w:tcW w:w="2635" w:type="dxa"/>
          </w:tcPr>
          <w:p w:rsidR="00D40126" w:rsidRDefault="00D40126" w:rsidP="004C5206">
            <w:pPr>
              <w:pStyle w:val="NoSpacing"/>
              <w:jc w:val="center"/>
            </w:pPr>
          </w:p>
        </w:tc>
        <w:tc>
          <w:tcPr>
            <w:tcW w:w="5303" w:type="dxa"/>
          </w:tcPr>
          <w:p w:rsidR="00D40126" w:rsidRDefault="00D40126" w:rsidP="004C5206">
            <w:pPr>
              <w:pStyle w:val="NoSpacing"/>
              <w:jc w:val="center"/>
            </w:pPr>
          </w:p>
        </w:tc>
        <w:tc>
          <w:tcPr>
            <w:tcW w:w="1890" w:type="dxa"/>
          </w:tcPr>
          <w:p w:rsidR="00D40126" w:rsidRDefault="00D40126" w:rsidP="004C5206">
            <w:pPr>
              <w:pStyle w:val="NoSpacing"/>
              <w:jc w:val="center"/>
            </w:pPr>
          </w:p>
        </w:tc>
        <w:tc>
          <w:tcPr>
            <w:tcW w:w="1530" w:type="dxa"/>
          </w:tcPr>
          <w:p w:rsidR="00D40126" w:rsidRDefault="00D40126" w:rsidP="004C5206">
            <w:pPr>
              <w:pStyle w:val="NoSpacing"/>
              <w:jc w:val="center"/>
            </w:pPr>
          </w:p>
        </w:tc>
        <w:tc>
          <w:tcPr>
            <w:tcW w:w="1818" w:type="dxa"/>
          </w:tcPr>
          <w:p w:rsidR="00D40126" w:rsidRDefault="00D40126" w:rsidP="004C5206">
            <w:pPr>
              <w:pStyle w:val="NoSpacing"/>
              <w:jc w:val="center"/>
            </w:pPr>
          </w:p>
        </w:tc>
      </w:tr>
      <w:tr w:rsidR="00D40126" w:rsidTr="004C5206">
        <w:tc>
          <w:tcPr>
            <w:tcW w:w="2635" w:type="dxa"/>
          </w:tcPr>
          <w:p w:rsidR="00D40126" w:rsidRDefault="00D40126" w:rsidP="004C5206">
            <w:pPr>
              <w:pStyle w:val="NoSpacing"/>
              <w:jc w:val="center"/>
            </w:pPr>
            <w:r>
              <w:t>I</w:t>
            </w:r>
          </w:p>
        </w:tc>
        <w:tc>
          <w:tcPr>
            <w:tcW w:w="5303" w:type="dxa"/>
          </w:tcPr>
          <w:p w:rsidR="00D40126" w:rsidRDefault="00D40126" w:rsidP="004C5206">
            <w:pPr>
              <w:pStyle w:val="NoSpacing"/>
              <w:jc w:val="center"/>
            </w:pPr>
            <w:r>
              <w:t>Increase outreach to community colleges by academic departments and student service departments (ex:  financial aid)</w:t>
            </w:r>
          </w:p>
        </w:tc>
        <w:tc>
          <w:tcPr>
            <w:tcW w:w="1890" w:type="dxa"/>
          </w:tcPr>
          <w:p w:rsidR="00D40126" w:rsidRDefault="00D40126" w:rsidP="004C5206">
            <w:pPr>
              <w:pStyle w:val="NoSpacing"/>
              <w:jc w:val="center"/>
            </w:pPr>
          </w:p>
        </w:tc>
        <w:tc>
          <w:tcPr>
            <w:tcW w:w="1530" w:type="dxa"/>
          </w:tcPr>
          <w:p w:rsidR="00D40126" w:rsidRDefault="00D40126" w:rsidP="004C5206">
            <w:pPr>
              <w:pStyle w:val="NoSpacing"/>
              <w:jc w:val="center"/>
            </w:pPr>
          </w:p>
        </w:tc>
        <w:tc>
          <w:tcPr>
            <w:tcW w:w="1818" w:type="dxa"/>
          </w:tcPr>
          <w:p w:rsidR="00D40126" w:rsidRDefault="00D40126" w:rsidP="004C5206">
            <w:pPr>
              <w:pStyle w:val="NoSpacing"/>
              <w:jc w:val="center"/>
            </w:pPr>
          </w:p>
        </w:tc>
      </w:tr>
      <w:tr w:rsidR="00D40126" w:rsidTr="004C5206">
        <w:tc>
          <w:tcPr>
            <w:tcW w:w="2635" w:type="dxa"/>
          </w:tcPr>
          <w:p w:rsidR="00D40126" w:rsidRDefault="00D40126" w:rsidP="004C5206">
            <w:pPr>
              <w:pStyle w:val="NoSpacing"/>
              <w:jc w:val="center"/>
            </w:pPr>
            <w:r>
              <w:t>I</w:t>
            </w:r>
          </w:p>
        </w:tc>
        <w:tc>
          <w:tcPr>
            <w:tcW w:w="5303" w:type="dxa"/>
          </w:tcPr>
          <w:p w:rsidR="00D40126" w:rsidRDefault="00D40126" w:rsidP="004C5206">
            <w:pPr>
              <w:pStyle w:val="NoSpacing"/>
              <w:jc w:val="center"/>
            </w:pPr>
            <w:r>
              <w:t>On-campus event specifically for transfer students independent of Showcase Saturday</w:t>
            </w:r>
          </w:p>
        </w:tc>
        <w:tc>
          <w:tcPr>
            <w:tcW w:w="1890" w:type="dxa"/>
          </w:tcPr>
          <w:p w:rsidR="00D40126" w:rsidRDefault="00D40126" w:rsidP="004C5206">
            <w:pPr>
              <w:pStyle w:val="NoSpacing"/>
              <w:jc w:val="center"/>
            </w:pPr>
          </w:p>
        </w:tc>
        <w:tc>
          <w:tcPr>
            <w:tcW w:w="1530" w:type="dxa"/>
          </w:tcPr>
          <w:p w:rsidR="00D40126" w:rsidRDefault="00D40126" w:rsidP="004C5206">
            <w:pPr>
              <w:pStyle w:val="NoSpacing"/>
              <w:jc w:val="center"/>
            </w:pPr>
          </w:p>
        </w:tc>
        <w:tc>
          <w:tcPr>
            <w:tcW w:w="1818" w:type="dxa"/>
          </w:tcPr>
          <w:p w:rsidR="00D40126" w:rsidRDefault="00D40126" w:rsidP="004C5206">
            <w:pPr>
              <w:pStyle w:val="NoSpacing"/>
              <w:jc w:val="center"/>
            </w:pPr>
          </w:p>
        </w:tc>
      </w:tr>
      <w:tr w:rsidR="00D40126" w:rsidTr="004C5206">
        <w:tc>
          <w:tcPr>
            <w:tcW w:w="2635" w:type="dxa"/>
          </w:tcPr>
          <w:p w:rsidR="00D40126" w:rsidRDefault="00D40126" w:rsidP="004C5206">
            <w:pPr>
              <w:pStyle w:val="NoSpacing"/>
              <w:jc w:val="center"/>
            </w:pPr>
            <w:r>
              <w:t>I</w:t>
            </w:r>
          </w:p>
        </w:tc>
        <w:tc>
          <w:tcPr>
            <w:tcW w:w="5303" w:type="dxa"/>
          </w:tcPr>
          <w:p w:rsidR="00D40126" w:rsidRDefault="00D40126" w:rsidP="004C5206">
            <w:pPr>
              <w:pStyle w:val="NoSpacing"/>
              <w:jc w:val="center"/>
            </w:pPr>
            <w:r>
              <w:t>Use current transfer students to help with recruiting – mentor program</w:t>
            </w:r>
          </w:p>
        </w:tc>
        <w:tc>
          <w:tcPr>
            <w:tcW w:w="1890" w:type="dxa"/>
          </w:tcPr>
          <w:p w:rsidR="00D40126" w:rsidRDefault="00D40126" w:rsidP="004C5206">
            <w:pPr>
              <w:pStyle w:val="NoSpacing"/>
              <w:jc w:val="center"/>
            </w:pPr>
          </w:p>
        </w:tc>
        <w:tc>
          <w:tcPr>
            <w:tcW w:w="1530" w:type="dxa"/>
          </w:tcPr>
          <w:p w:rsidR="00D40126" w:rsidRDefault="00D40126" w:rsidP="004C5206">
            <w:pPr>
              <w:pStyle w:val="NoSpacing"/>
              <w:jc w:val="center"/>
            </w:pPr>
          </w:p>
        </w:tc>
        <w:tc>
          <w:tcPr>
            <w:tcW w:w="1818" w:type="dxa"/>
          </w:tcPr>
          <w:p w:rsidR="00D40126" w:rsidRDefault="00D40126" w:rsidP="004C5206">
            <w:pPr>
              <w:pStyle w:val="NoSpacing"/>
              <w:jc w:val="center"/>
            </w:pPr>
          </w:p>
        </w:tc>
      </w:tr>
      <w:tr w:rsidR="00D40126" w:rsidTr="004C5206">
        <w:tc>
          <w:tcPr>
            <w:tcW w:w="2635" w:type="dxa"/>
          </w:tcPr>
          <w:p w:rsidR="00D40126" w:rsidRDefault="00D40126" w:rsidP="004C5206">
            <w:pPr>
              <w:pStyle w:val="NoSpacing"/>
              <w:jc w:val="center"/>
            </w:pPr>
            <w:r>
              <w:t>I</w:t>
            </w:r>
          </w:p>
        </w:tc>
        <w:tc>
          <w:tcPr>
            <w:tcW w:w="5303" w:type="dxa"/>
          </w:tcPr>
          <w:p w:rsidR="00D40126" w:rsidRDefault="00D40126" w:rsidP="004C5206">
            <w:pPr>
              <w:pStyle w:val="NoSpacing"/>
              <w:jc w:val="center"/>
            </w:pPr>
            <w:r>
              <w:t>Increase direct linkages between faculty at Community Colleges and SFA</w:t>
            </w:r>
          </w:p>
        </w:tc>
        <w:tc>
          <w:tcPr>
            <w:tcW w:w="1890" w:type="dxa"/>
          </w:tcPr>
          <w:p w:rsidR="00D40126" w:rsidRDefault="00D40126" w:rsidP="004C5206">
            <w:pPr>
              <w:pStyle w:val="NoSpacing"/>
              <w:jc w:val="center"/>
            </w:pPr>
          </w:p>
        </w:tc>
        <w:tc>
          <w:tcPr>
            <w:tcW w:w="1530" w:type="dxa"/>
          </w:tcPr>
          <w:p w:rsidR="00D40126" w:rsidRDefault="00D40126" w:rsidP="004C5206">
            <w:pPr>
              <w:pStyle w:val="NoSpacing"/>
              <w:jc w:val="center"/>
            </w:pPr>
          </w:p>
        </w:tc>
        <w:tc>
          <w:tcPr>
            <w:tcW w:w="1818" w:type="dxa"/>
          </w:tcPr>
          <w:p w:rsidR="00D40126" w:rsidRDefault="00D40126" w:rsidP="004C5206">
            <w:pPr>
              <w:pStyle w:val="NoSpacing"/>
              <w:jc w:val="center"/>
            </w:pPr>
          </w:p>
        </w:tc>
      </w:tr>
      <w:tr w:rsidR="005B6BB9" w:rsidTr="004C5206">
        <w:tc>
          <w:tcPr>
            <w:tcW w:w="2635" w:type="dxa"/>
          </w:tcPr>
          <w:p w:rsidR="005B6BB9" w:rsidRDefault="005B6BB9" w:rsidP="004C5206">
            <w:pPr>
              <w:pStyle w:val="NoSpacing"/>
              <w:jc w:val="center"/>
            </w:pPr>
            <w:r>
              <w:t>I</w:t>
            </w:r>
          </w:p>
        </w:tc>
        <w:tc>
          <w:tcPr>
            <w:tcW w:w="5303" w:type="dxa"/>
          </w:tcPr>
          <w:p w:rsidR="005B6BB9" w:rsidRDefault="005B6BB9" w:rsidP="005B6BB9">
            <w:pPr>
              <w:pStyle w:val="NoSpacing"/>
              <w:jc w:val="center"/>
            </w:pPr>
            <w:r>
              <w:t xml:space="preserve">Building on relationships the SFA Honors program has developed with specific Community Colleges </w:t>
            </w:r>
          </w:p>
        </w:tc>
        <w:tc>
          <w:tcPr>
            <w:tcW w:w="1890" w:type="dxa"/>
          </w:tcPr>
          <w:p w:rsidR="005B6BB9" w:rsidRDefault="005B6BB9" w:rsidP="004C5206">
            <w:pPr>
              <w:pStyle w:val="NoSpacing"/>
              <w:jc w:val="center"/>
            </w:pPr>
          </w:p>
        </w:tc>
        <w:tc>
          <w:tcPr>
            <w:tcW w:w="1530" w:type="dxa"/>
          </w:tcPr>
          <w:p w:rsidR="005B6BB9" w:rsidRDefault="005B6BB9" w:rsidP="004C5206">
            <w:pPr>
              <w:pStyle w:val="NoSpacing"/>
              <w:jc w:val="center"/>
            </w:pPr>
          </w:p>
        </w:tc>
        <w:tc>
          <w:tcPr>
            <w:tcW w:w="1818" w:type="dxa"/>
          </w:tcPr>
          <w:p w:rsidR="005B6BB9" w:rsidRDefault="005B6BB9" w:rsidP="004C5206">
            <w:pPr>
              <w:pStyle w:val="NoSpacing"/>
              <w:jc w:val="center"/>
            </w:pPr>
          </w:p>
        </w:tc>
      </w:tr>
      <w:tr w:rsidR="005B6BB9" w:rsidTr="004C5206">
        <w:tc>
          <w:tcPr>
            <w:tcW w:w="2635" w:type="dxa"/>
          </w:tcPr>
          <w:p w:rsidR="005B6BB9" w:rsidRDefault="005B6BB9" w:rsidP="004C5206">
            <w:pPr>
              <w:pStyle w:val="NoSpacing"/>
              <w:jc w:val="center"/>
            </w:pPr>
            <w:r>
              <w:t>I</w:t>
            </w:r>
          </w:p>
        </w:tc>
        <w:tc>
          <w:tcPr>
            <w:tcW w:w="5303" w:type="dxa"/>
          </w:tcPr>
          <w:p w:rsidR="005B6BB9" w:rsidRDefault="005B6BB9" w:rsidP="005B6BB9">
            <w:pPr>
              <w:pStyle w:val="NoSpacing"/>
              <w:jc w:val="center"/>
            </w:pPr>
            <w:r>
              <w:t>Investigate and “SFA 101” course for transfer students</w:t>
            </w:r>
          </w:p>
        </w:tc>
        <w:tc>
          <w:tcPr>
            <w:tcW w:w="1890" w:type="dxa"/>
          </w:tcPr>
          <w:p w:rsidR="005B6BB9" w:rsidRDefault="005B6BB9" w:rsidP="004C5206">
            <w:pPr>
              <w:pStyle w:val="NoSpacing"/>
              <w:jc w:val="center"/>
            </w:pPr>
          </w:p>
        </w:tc>
        <w:tc>
          <w:tcPr>
            <w:tcW w:w="1530" w:type="dxa"/>
          </w:tcPr>
          <w:p w:rsidR="005B6BB9" w:rsidRDefault="005B6BB9" w:rsidP="004C5206">
            <w:pPr>
              <w:pStyle w:val="NoSpacing"/>
              <w:jc w:val="center"/>
            </w:pPr>
          </w:p>
        </w:tc>
        <w:tc>
          <w:tcPr>
            <w:tcW w:w="1818" w:type="dxa"/>
          </w:tcPr>
          <w:p w:rsidR="005B6BB9" w:rsidRDefault="005B6BB9" w:rsidP="004C5206">
            <w:pPr>
              <w:pStyle w:val="NoSpacing"/>
              <w:jc w:val="center"/>
            </w:pPr>
          </w:p>
        </w:tc>
      </w:tr>
      <w:tr w:rsidR="005B6BB9" w:rsidTr="004C5206">
        <w:tc>
          <w:tcPr>
            <w:tcW w:w="2635" w:type="dxa"/>
          </w:tcPr>
          <w:p w:rsidR="005B6BB9" w:rsidRDefault="005B6BB9" w:rsidP="004C5206">
            <w:pPr>
              <w:pStyle w:val="NoSpacing"/>
              <w:jc w:val="center"/>
            </w:pPr>
            <w:r>
              <w:t>I</w:t>
            </w:r>
          </w:p>
        </w:tc>
        <w:tc>
          <w:tcPr>
            <w:tcW w:w="5303" w:type="dxa"/>
          </w:tcPr>
          <w:p w:rsidR="005B6BB9" w:rsidRDefault="005B6BB9" w:rsidP="005B6BB9">
            <w:pPr>
              <w:pStyle w:val="NoSpacing"/>
              <w:jc w:val="center"/>
            </w:pPr>
            <w:r>
              <w:t>Provide organized, consistent training for Community College transfer counselors</w:t>
            </w:r>
          </w:p>
        </w:tc>
        <w:tc>
          <w:tcPr>
            <w:tcW w:w="1890" w:type="dxa"/>
          </w:tcPr>
          <w:p w:rsidR="005B6BB9" w:rsidRDefault="005B6BB9" w:rsidP="004C5206">
            <w:pPr>
              <w:pStyle w:val="NoSpacing"/>
              <w:jc w:val="center"/>
            </w:pPr>
          </w:p>
        </w:tc>
        <w:tc>
          <w:tcPr>
            <w:tcW w:w="1530" w:type="dxa"/>
          </w:tcPr>
          <w:p w:rsidR="005B6BB9" w:rsidRDefault="005B6BB9" w:rsidP="004C5206">
            <w:pPr>
              <w:pStyle w:val="NoSpacing"/>
              <w:jc w:val="center"/>
            </w:pPr>
          </w:p>
        </w:tc>
        <w:tc>
          <w:tcPr>
            <w:tcW w:w="1818" w:type="dxa"/>
          </w:tcPr>
          <w:p w:rsidR="005B6BB9" w:rsidRDefault="005B6BB9" w:rsidP="004C5206">
            <w:pPr>
              <w:pStyle w:val="NoSpacing"/>
              <w:jc w:val="center"/>
            </w:pPr>
          </w:p>
        </w:tc>
      </w:tr>
      <w:tr w:rsidR="00880FC1" w:rsidTr="004C5206">
        <w:tc>
          <w:tcPr>
            <w:tcW w:w="2635" w:type="dxa"/>
          </w:tcPr>
          <w:p w:rsidR="00880FC1" w:rsidRDefault="00880FC1" w:rsidP="004C5206">
            <w:pPr>
              <w:pStyle w:val="NoSpacing"/>
              <w:jc w:val="center"/>
            </w:pPr>
            <w:r>
              <w:t>I</w:t>
            </w:r>
          </w:p>
        </w:tc>
        <w:tc>
          <w:tcPr>
            <w:tcW w:w="5303" w:type="dxa"/>
          </w:tcPr>
          <w:p w:rsidR="00880FC1" w:rsidRDefault="00880FC1" w:rsidP="005B6BB9">
            <w:pPr>
              <w:pStyle w:val="NoSpacing"/>
              <w:jc w:val="center"/>
            </w:pPr>
            <w:r>
              <w:t>Develop “Destination SFA” program with selected Community Colleges</w:t>
            </w:r>
          </w:p>
        </w:tc>
        <w:tc>
          <w:tcPr>
            <w:tcW w:w="1890" w:type="dxa"/>
          </w:tcPr>
          <w:p w:rsidR="00880FC1" w:rsidRDefault="00880FC1" w:rsidP="004C5206">
            <w:pPr>
              <w:pStyle w:val="NoSpacing"/>
              <w:jc w:val="center"/>
            </w:pPr>
          </w:p>
        </w:tc>
        <w:tc>
          <w:tcPr>
            <w:tcW w:w="1530" w:type="dxa"/>
          </w:tcPr>
          <w:p w:rsidR="00880FC1" w:rsidRDefault="00880FC1" w:rsidP="004C5206">
            <w:pPr>
              <w:pStyle w:val="NoSpacing"/>
              <w:jc w:val="center"/>
            </w:pPr>
          </w:p>
        </w:tc>
        <w:tc>
          <w:tcPr>
            <w:tcW w:w="1818" w:type="dxa"/>
          </w:tcPr>
          <w:p w:rsidR="00880FC1" w:rsidRDefault="00880FC1" w:rsidP="004C5206">
            <w:pPr>
              <w:pStyle w:val="NoSpacing"/>
              <w:jc w:val="center"/>
            </w:pPr>
          </w:p>
        </w:tc>
      </w:tr>
    </w:tbl>
    <w:p w:rsidR="004C5206" w:rsidRDefault="004C5206" w:rsidP="004C5206">
      <w:pPr>
        <w:pStyle w:val="NoSpacing"/>
        <w:jc w:val="center"/>
      </w:pPr>
    </w:p>
    <w:sectPr w:rsidR="004C5206" w:rsidSect="004C5206">
      <w:footerReference w:type="default" r:id="rId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70E3" w:rsidRDefault="002270E3" w:rsidP="00AE4037">
      <w:pPr>
        <w:spacing w:after="0" w:line="240" w:lineRule="auto"/>
      </w:pPr>
      <w:r>
        <w:separator/>
      </w:r>
    </w:p>
  </w:endnote>
  <w:endnote w:type="continuationSeparator" w:id="0">
    <w:p w:rsidR="002270E3" w:rsidRDefault="002270E3" w:rsidP="00AE4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037" w:rsidRPr="00AE4037" w:rsidRDefault="00AE4037" w:rsidP="00AE4037">
    <w:pPr>
      <w:pStyle w:val="Footer"/>
      <w:jc w:val="right"/>
      <w:rPr>
        <w:sz w:val="18"/>
      </w:rPr>
    </w:pPr>
    <w:r w:rsidRPr="004B4924">
      <w:rPr>
        <w:sz w:val="18"/>
      </w:rPr>
      <w:t xml:space="preserve">Developed: </w:t>
    </w:r>
    <w:r>
      <w:rPr>
        <w:sz w:val="18"/>
      </w:rPr>
      <w:t>November 9,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70E3" w:rsidRDefault="002270E3" w:rsidP="00AE4037">
      <w:pPr>
        <w:spacing w:after="0" w:line="240" w:lineRule="auto"/>
      </w:pPr>
      <w:r>
        <w:separator/>
      </w:r>
    </w:p>
  </w:footnote>
  <w:footnote w:type="continuationSeparator" w:id="0">
    <w:p w:rsidR="002270E3" w:rsidRDefault="002270E3" w:rsidP="00AE40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206"/>
    <w:rsid w:val="002270E3"/>
    <w:rsid w:val="00311BB8"/>
    <w:rsid w:val="004C5206"/>
    <w:rsid w:val="005B6BB9"/>
    <w:rsid w:val="00880FC1"/>
    <w:rsid w:val="00AE4037"/>
    <w:rsid w:val="00BC179C"/>
    <w:rsid w:val="00C10444"/>
    <w:rsid w:val="00CF3084"/>
    <w:rsid w:val="00D40126"/>
    <w:rsid w:val="00DA0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12B3A0-ACCC-42E0-A970-8DBD25AC4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5206"/>
    <w:pPr>
      <w:spacing w:after="0" w:line="240" w:lineRule="auto"/>
    </w:pPr>
  </w:style>
  <w:style w:type="table" w:styleId="TableGrid">
    <w:name w:val="Table Grid"/>
    <w:basedOn w:val="TableNormal"/>
    <w:uiPriority w:val="59"/>
    <w:rsid w:val="004C5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E40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4037"/>
  </w:style>
  <w:style w:type="paragraph" w:styleId="Footer">
    <w:name w:val="footer"/>
    <w:basedOn w:val="Normal"/>
    <w:link w:val="FooterChar"/>
    <w:uiPriority w:val="99"/>
    <w:unhideWhenUsed/>
    <w:rsid w:val="00AE40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40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348</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chet</dc:creator>
  <cp:lastModifiedBy>Megan S. Weatherly</cp:lastModifiedBy>
  <cp:revision>2</cp:revision>
  <cp:lastPrinted>2016-01-15T14:59:00Z</cp:lastPrinted>
  <dcterms:created xsi:type="dcterms:W3CDTF">2016-01-19T21:29:00Z</dcterms:created>
  <dcterms:modified xsi:type="dcterms:W3CDTF">2016-01-19T21:29:00Z</dcterms:modified>
</cp:coreProperties>
</file>